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bCs/>
          <w:sz w:val="44"/>
          <w:szCs w:val="44"/>
          <w:lang w:val="en-US" w:eastAsia="zh-CN"/>
        </w:rPr>
      </w:pPr>
    </w:p>
    <w:p>
      <w:pPr>
        <w:numPr>
          <w:ilvl w:val="0"/>
          <w:numId w:val="0"/>
        </w:numPr>
        <w:jc w:val="center"/>
        <w:rPr>
          <w:rFonts w:hint="eastAsia" w:ascii="方正小标宋简体" w:hAnsi="方正小标宋简体" w:eastAsia="方正小标宋简体" w:cs="方正小标宋简体"/>
          <w:bCs/>
          <w:sz w:val="44"/>
          <w:szCs w:val="44"/>
          <w:lang w:val="en-US" w:eastAsia="zh-CN"/>
        </w:rPr>
      </w:pPr>
    </w:p>
    <w:p>
      <w:pPr>
        <w:numPr>
          <w:ilvl w:val="0"/>
          <w:numId w:val="0"/>
        </w:numPr>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 xml:space="preserve">第一部分 </w:t>
      </w:r>
      <w:r>
        <w:rPr>
          <w:rFonts w:hint="eastAsia" w:ascii="方正小标宋简体" w:hAnsi="方正小标宋简体" w:eastAsia="方正小标宋简体" w:cs="方正小标宋简体"/>
          <w:bCs/>
          <w:sz w:val="44"/>
          <w:szCs w:val="44"/>
        </w:rPr>
        <w:t>2021年度部门决算表</w:t>
      </w:r>
    </w:p>
    <w:p>
      <w:pPr>
        <w:numPr>
          <w:ilvl w:val="0"/>
          <w:numId w:val="0"/>
        </w:numPr>
        <w:rPr>
          <w:rFonts w:hint="eastAsia" w:ascii="方正小标宋简体" w:hAnsi="方正小标宋简体" w:eastAsia="方正小标宋简体" w:cs="方正小标宋简体"/>
          <w:bCs/>
          <w:sz w:val="44"/>
          <w:szCs w:val="44"/>
          <w:lang w:val="en-US" w:eastAsia="zh-CN"/>
        </w:rPr>
      </w:pPr>
    </w:p>
    <w:p>
      <w:pPr>
        <w:ind w:firstLine="1280" w:firstLineChars="400"/>
        <w:jc w:val="left"/>
        <w:rPr>
          <w:rFonts w:hint="eastAsia" w:ascii="仿宋_GB2312" w:hAnsi="仿宋" w:eastAsia="仿宋_GB2312" w:cs="仿宋"/>
          <w:bCs/>
          <w:color w:val="000000"/>
          <w:sz w:val="32"/>
          <w:szCs w:val="32"/>
          <w:lang w:val="en-US" w:eastAsia="zh-CN"/>
        </w:rPr>
      </w:pPr>
      <w:r>
        <w:rPr>
          <w:rFonts w:hint="eastAsia" w:ascii="仿宋_GB2312" w:hAnsi="仿宋" w:eastAsia="仿宋_GB2312" w:cs="仿宋"/>
          <w:bCs/>
          <w:color w:val="000000"/>
          <w:sz w:val="32"/>
          <w:szCs w:val="32"/>
          <w:lang w:val="en-US" w:eastAsia="zh-CN"/>
        </w:rPr>
        <w:t>见压缩包附件表1-21。</w:t>
      </w: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rPr>
          <w:rFonts w:hint="eastAsia" w:ascii="黑体" w:hAnsi="黑体" w:eastAsia="黑体" w:cs="黑体"/>
          <w:sz w:val="84"/>
          <w:szCs w:val="84"/>
          <w:lang w:val="en-US" w:eastAsia="zh-CN"/>
        </w:rPr>
      </w:pPr>
    </w:p>
    <w:p>
      <w:pPr>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第二部分2021年度部门决算报表说明</w:t>
      </w:r>
    </w:p>
    <w:p>
      <w:pPr>
        <w:widowControl/>
        <w:spacing w:line="211" w:lineRule="atLeast"/>
        <w:jc w:val="center"/>
        <w:rPr>
          <w:rFonts w:ascii="华文中宋" w:hAnsi="华文中宋" w:eastAsia="华文中宋" w:cs="宋体"/>
          <w:color w:val="000000"/>
          <w:kern w:val="0"/>
          <w:sz w:val="36"/>
          <w:szCs w:val="32"/>
        </w:rPr>
      </w:pPr>
    </w:p>
    <w:p>
      <w:pPr>
        <w:jc w:val="center"/>
        <w:rPr>
          <w:rFonts w:ascii="仿宋_GB2312" w:hAnsi="华文中宋" w:eastAsia="仿宋_GB2312" w:cs="黑体"/>
          <w:color w:val="000000"/>
          <w:sz w:val="32"/>
          <w:szCs w:val="32"/>
        </w:rPr>
      </w:pP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一、决算信息来源说明</w:t>
      </w:r>
    </w:p>
    <w:p>
      <w:pPr>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本套决算依据本单位登记完整、核对无误的账簿记录和其他有关会计核算资料编制，账证相符、账实相符、账表相符、表表相符，真实、准确、完整地反映了本单位预算执行结果和财务状况。</w:t>
      </w:r>
    </w:p>
    <w:p>
      <w:pPr>
        <w:ind w:firstLine="640" w:firstLineChars="200"/>
        <w:rPr>
          <w:rFonts w:ascii="仿宋_GB2312" w:hAnsi="仿宋" w:eastAsia="仿宋_GB2312" w:cs="黑体"/>
          <w:color w:val="000000"/>
          <w:sz w:val="32"/>
          <w:szCs w:val="32"/>
        </w:rPr>
      </w:pPr>
      <w:r>
        <w:rPr>
          <w:rFonts w:hint="eastAsia" w:ascii="仿宋_GB2312" w:hAnsi="仿宋" w:eastAsia="仿宋_GB2312"/>
          <w:sz w:val="32"/>
          <w:szCs w:val="32"/>
        </w:rPr>
        <w:t>（一）本套决算主表数据主要依据本单位会计账簿总账及明细账数据填列，预算数据依据本单位预、决算批复文件及预算调整文件填列。</w:t>
      </w:r>
    </w:p>
    <w:p>
      <w:pPr>
        <w:ind w:firstLine="640" w:firstLineChars="200"/>
        <w:rPr>
          <w:rFonts w:ascii="仿宋_GB2312" w:hAnsi="仿宋" w:eastAsia="仿宋_GB2312"/>
          <w:sz w:val="32"/>
          <w:szCs w:val="32"/>
        </w:rPr>
      </w:pPr>
      <w:r>
        <w:rPr>
          <w:rFonts w:hint="eastAsia" w:ascii="仿宋_GB2312" w:hAnsi="仿宋" w:eastAsia="仿宋_GB2312"/>
          <w:sz w:val="32"/>
          <w:szCs w:val="32"/>
        </w:rPr>
        <w:t>（二）本套决算附表数据主要依据本单位会计账簿、资产、人事台账及相关资料填列。</w:t>
      </w:r>
    </w:p>
    <w:p>
      <w:pPr>
        <w:ind w:firstLine="640" w:firstLineChars="200"/>
        <w:rPr>
          <w:rFonts w:ascii="黑体" w:hAnsi="黑体" w:eastAsia="黑体" w:cs="黑体"/>
          <w:sz w:val="32"/>
          <w:szCs w:val="32"/>
        </w:rPr>
      </w:pPr>
      <w:r>
        <w:rPr>
          <w:rFonts w:hint="eastAsia" w:ascii="黑体" w:hAnsi="黑体" w:eastAsia="黑体" w:cs="黑体"/>
          <w:sz w:val="32"/>
          <w:szCs w:val="32"/>
        </w:rPr>
        <w:t>二、决算编制基本情况</w:t>
      </w:r>
    </w:p>
    <w:p>
      <w:pPr>
        <w:ind w:firstLine="567"/>
        <w:rPr>
          <w:rFonts w:ascii="仿宋_GB2312" w:hAnsi="仿宋" w:eastAsia="仿宋_GB2312" w:cs="仿宋"/>
          <w:bCs/>
          <w:sz w:val="32"/>
          <w:szCs w:val="32"/>
        </w:rPr>
      </w:pPr>
      <w:r>
        <w:rPr>
          <w:rFonts w:hint="eastAsia" w:ascii="仿宋_GB2312" w:hAnsi="仿宋" w:eastAsia="仿宋_GB2312" w:cs="仿宋"/>
          <w:bCs/>
          <w:sz w:val="32"/>
          <w:szCs w:val="32"/>
        </w:rPr>
        <w:t>本单位为</w:t>
      </w:r>
      <w:r>
        <w:rPr>
          <w:rFonts w:hint="eastAsia" w:ascii="仿宋_GB2312" w:hAnsi="仿宋" w:eastAsia="仿宋_GB2312" w:cs="仿宋"/>
          <w:bCs/>
          <w:sz w:val="32"/>
          <w:szCs w:val="32"/>
          <w:lang w:val="en-US" w:eastAsia="zh-CN"/>
        </w:rPr>
        <w:t>浮梁县鹅湖镇人民政府</w:t>
      </w:r>
      <w:r>
        <w:rPr>
          <w:rFonts w:hint="eastAsia" w:ascii="仿宋_GB2312" w:hAnsi="仿宋" w:eastAsia="仿宋_GB2312" w:cs="仿宋"/>
          <w:bCs/>
          <w:sz w:val="32"/>
          <w:szCs w:val="32"/>
        </w:rPr>
        <w:t>所属级</w:t>
      </w:r>
      <w:r>
        <w:rPr>
          <w:rFonts w:hint="eastAsia" w:ascii="仿宋_GB2312" w:hAnsi="仿宋" w:eastAsia="仿宋_GB2312" w:cs="仿宋"/>
          <w:bCs/>
          <w:sz w:val="32"/>
          <w:szCs w:val="32"/>
          <w:lang w:val="en-US" w:eastAsia="zh-CN"/>
        </w:rPr>
        <w:t>二级</w:t>
      </w:r>
      <w:r>
        <w:rPr>
          <w:rFonts w:hint="eastAsia" w:ascii="仿宋_GB2312" w:hAnsi="仿宋" w:eastAsia="仿宋_GB2312" w:cs="仿宋"/>
          <w:bCs/>
          <w:spacing w:val="14"/>
          <w:sz w:val="32"/>
          <w:szCs w:val="32"/>
        </w:rPr>
        <w:t>预算单位，单位性质</w:t>
      </w:r>
      <w:r>
        <w:rPr>
          <w:rFonts w:hint="eastAsia" w:ascii="仿宋_GB2312" w:hAnsi="仿宋" w:eastAsia="仿宋_GB2312" w:cs="仿宋"/>
          <w:bCs/>
          <w:sz w:val="32"/>
          <w:szCs w:val="32"/>
        </w:rPr>
        <w:t>为</w:t>
      </w:r>
      <w:r>
        <w:rPr>
          <w:rFonts w:hint="eastAsia" w:ascii="仿宋_GB2312" w:hAnsi="仿宋" w:eastAsia="仿宋_GB2312" w:cs="仿宋"/>
          <w:bCs/>
          <w:sz w:val="32"/>
          <w:szCs w:val="32"/>
          <w:lang w:val="en-US" w:eastAsia="zh-CN"/>
        </w:rPr>
        <w:t>行政</w:t>
      </w:r>
      <w:r>
        <w:rPr>
          <w:rFonts w:hint="eastAsia" w:ascii="仿宋_GB2312" w:hAnsi="仿宋" w:eastAsia="仿宋_GB2312" w:cs="仿宋"/>
          <w:bCs/>
          <w:sz w:val="32"/>
          <w:szCs w:val="32"/>
        </w:rPr>
        <w:t>单位，决算编报类型为</w:t>
      </w:r>
      <w:r>
        <w:rPr>
          <w:rFonts w:hint="eastAsia" w:ascii="仿宋_GB2312" w:hAnsi="仿宋" w:eastAsia="仿宋_GB2312" w:cs="仿宋"/>
          <w:bCs/>
          <w:sz w:val="32"/>
          <w:szCs w:val="32"/>
          <w:lang w:val="en-US" w:eastAsia="zh-CN"/>
        </w:rPr>
        <w:t>单户表</w:t>
      </w:r>
      <w:r>
        <w:rPr>
          <w:rFonts w:hint="eastAsia" w:ascii="仿宋_GB2312" w:hAnsi="仿宋" w:eastAsia="仿宋_GB2312" w:cs="仿宋"/>
          <w:bCs/>
          <w:sz w:val="32"/>
          <w:szCs w:val="32"/>
        </w:rPr>
        <w:t>，按照</w:t>
      </w:r>
      <w:r>
        <w:rPr>
          <w:rFonts w:hint="eastAsia" w:ascii="仿宋_GB2312" w:hAnsi="仿宋" w:eastAsia="仿宋_GB2312" w:cs="仿宋"/>
          <w:bCs/>
          <w:sz w:val="32"/>
          <w:szCs w:val="32"/>
          <w:lang w:val="en-US" w:eastAsia="zh-CN"/>
        </w:rPr>
        <w:t>政府会计准则</w:t>
      </w:r>
      <w:r>
        <w:rPr>
          <w:rFonts w:hint="eastAsia" w:ascii="仿宋_GB2312" w:hAnsi="仿宋" w:eastAsia="仿宋_GB2312" w:cs="仿宋"/>
          <w:bCs/>
          <w:sz w:val="32"/>
          <w:szCs w:val="32"/>
        </w:rPr>
        <w:t>制度填报决算数据。</w:t>
      </w:r>
    </w:p>
    <w:p>
      <w:pPr>
        <w:ind w:firstLine="567"/>
        <w:rPr>
          <w:rFonts w:ascii="仿宋_GB2312" w:hAnsi="仿宋" w:eastAsia="仿宋_GB2312" w:cs="仿宋"/>
          <w:bCs/>
          <w:sz w:val="32"/>
          <w:szCs w:val="32"/>
        </w:rPr>
      </w:pPr>
      <w:r>
        <w:rPr>
          <w:rFonts w:hint="eastAsia" w:ascii="仿宋_GB2312" w:hAnsi="仿宋" w:eastAsia="仿宋_GB2312" w:cs="仿宋"/>
          <w:bCs/>
          <w:sz w:val="32"/>
          <w:szCs w:val="32"/>
        </w:rPr>
        <w:t>纳入本套决算编制范围的独立核算单位共</w:t>
      </w:r>
      <w:r>
        <w:rPr>
          <w:rFonts w:hint="eastAsia" w:ascii="仿宋_GB2312" w:hAnsi="仿宋" w:eastAsia="仿宋_GB2312" w:cs="仿宋"/>
          <w:bCs/>
          <w:sz w:val="32"/>
          <w:szCs w:val="32"/>
          <w:u w:val="single"/>
          <w:lang w:val="en-US" w:eastAsia="zh-CN"/>
        </w:rPr>
        <w:t>1</w:t>
      </w:r>
      <w:r>
        <w:rPr>
          <w:rFonts w:hint="eastAsia" w:ascii="仿宋_GB2312" w:hAnsi="仿宋" w:eastAsia="仿宋_GB2312" w:cs="仿宋"/>
          <w:bCs/>
          <w:sz w:val="32"/>
          <w:szCs w:val="32"/>
        </w:rPr>
        <w:t>个，比上年增减</w:t>
      </w:r>
      <w:r>
        <w:rPr>
          <w:rFonts w:hint="eastAsia" w:ascii="仿宋_GB2312" w:eastAsia="仿宋_GB2312" w:cs="Times New Roman"/>
          <w:color w:val="000000"/>
          <w:sz w:val="32"/>
          <w:szCs w:val="32"/>
          <w:u w:val="single"/>
          <w:lang w:val="en-US" w:eastAsia="zh-CN"/>
        </w:rPr>
        <w:t>0</w:t>
      </w:r>
      <w:r>
        <w:rPr>
          <w:rFonts w:hint="eastAsia" w:ascii="仿宋_GB2312" w:hAnsi="仿宋" w:eastAsia="仿宋_GB2312" w:cs="仿宋"/>
          <w:bCs/>
          <w:sz w:val="32"/>
          <w:szCs w:val="32"/>
        </w:rPr>
        <w:t>个。</w:t>
      </w:r>
    </w:p>
    <w:p>
      <w:pPr>
        <w:ind w:firstLine="707" w:firstLineChars="221"/>
        <w:rPr>
          <w:rFonts w:ascii="黑体" w:hAnsi="黑体" w:eastAsia="黑体" w:cs="Times New Roman"/>
          <w:color w:val="000000"/>
          <w:sz w:val="32"/>
          <w:szCs w:val="32"/>
        </w:rPr>
      </w:pPr>
      <w:r>
        <w:rPr>
          <w:rFonts w:hint="eastAsia" w:ascii="黑体" w:hAnsi="黑体" w:eastAsia="黑体" w:cs="黑体"/>
          <w:color w:val="000000"/>
          <w:sz w:val="32"/>
          <w:szCs w:val="32"/>
        </w:rPr>
        <w:t>三、基础数据核对情况</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（一）财政资金对账情况。</w:t>
      </w:r>
    </w:p>
    <w:p>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1．财政拨款核对情况。</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（1）单位本年度实际收到的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公共预算财政拨款收入</w:t>
      </w:r>
      <w:r>
        <w:rPr>
          <w:rFonts w:hint="eastAsia" w:ascii="仿宋_GB2312" w:hAnsi="仿宋" w:eastAsia="仿宋_GB2312" w:cs="仿宋"/>
          <w:color w:val="000000"/>
          <w:sz w:val="32"/>
          <w:szCs w:val="32"/>
          <w:lang w:val="en-US" w:eastAsia="zh-CN"/>
        </w:rPr>
        <w:t>5562</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5562</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（2）单位本年度政府性基金预算财政拨款收入万元，财政部门拨款对账单</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565</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w:t>
      </w:r>
    </w:p>
    <w:p>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（3）单位本年度国有资本经营预算财政拨款收入</w:t>
      </w:r>
      <w:r>
        <w:rPr>
          <w:rFonts w:hint="eastAsia" w:ascii="仿宋_GB2312" w:hAnsi="仿宋" w:eastAsia="仿宋_GB2312" w:cs="仿宋"/>
          <w:color w:val="000000"/>
          <w:sz w:val="32"/>
          <w:szCs w:val="32"/>
          <w:lang w:val="en-US" w:eastAsia="zh-CN"/>
        </w:rPr>
        <w:t>0</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0</w:t>
      </w:r>
      <w:r>
        <w:rPr>
          <w:rFonts w:hint="eastAsia" w:ascii="宋体" w:hAnsi="宋体" w:cs="宋体"/>
          <w:color w:val="000000"/>
          <w:sz w:val="32"/>
          <w:szCs w:val="32"/>
          <w:u w:val="single"/>
        </w:rPr>
        <w:t> </w:t>
      </w:r>
      <w:r>
        <w:rPr>
          <w:rFonts w:hint="eastAsia" w:ascii="仿宋_GB2312" w:hAnsi="仿宋" w:eastAsia="仿宋_GB2312" w:cs="仿宋"/>
          <w:color w:val="000000"/>
          <w:sz w:val="32"/>
          <w:szCs w:val="32"/>
        </w:rPr>
        <w:t>万元。对差额原因进行说明。</w:t>
      </w:r>
    </w:p>
    <w:p>
      <w:pPr>
        <w:ind w:firstLine="709"/>
        <w:rPr>
          <w:rFonts w:hint="eastAsia" w:ascii="仿宋_GB2312" w:hAnsi="仿宋" w:eastAsia="仿宋_GB2312" w:cs="仿宋"/>
          <w:b/>
          <w:color w:val="000000"/>
          <w:sz w:val="32"/>
          <w:szCs w:val="32"/>
        </w:rPr>
      </w:pPr>
      <w:r>
        <w:rPr>
          <w:rFonts w:hint="eastAsia" w:ascii="仿宋_GB2312" w:hAnsi="仿宋" w:eastAsia="仿宋_GB2312" w:cs="仿宋"/>
          <w:b/>
          <w:color w:val="000000"/>
          <w:sz w:val="32"/>
          <w:szCs w:val="32"/>
        </w:rPr>
        <w:t>2．其他需要说明的情况。</w:t>
      </w:r>
    </w:p>
    <w:p>
      <w:pPr>
        <w:ind w:firstLine="709"/>
        <w:rPr>
          <w:rFonts w:hint="eastAsia" w:ascii="仿宋_GB2312" w:hAnsi="仿宋" w:eastAsia="仿宋_GB2312" w:cs="仿宋"/>
          <w:b/>
          <w:color w:val="000000"/>
          <w:sz w:val="32"/>
          <w:szCs w:val="32"/>
          <w:lang w:val="en-US" w:eastAsia="zh-CN"/>
        </w:rPr>
      </w:pPr>
      <w:r>
        <w:rPr>
          <w:rFonts w:hint="eastAsia" w:ascii="仿宋_GB2312" w:hAnsi="仿宋" w:eastAsia="仿宋_GB2312" w:cs="仿宋"/>
          <w:b/>
          <w:color w:val="000000"/>
          <w:sz w:val="32"/>
          <w:szCs w:val="32"/>
          <w:lang w:val="en-US" w:eastAsia="zh-CN"/>
        </w:rPr>
        <w:t>无</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（二）与上年指标核对情况。</w:t>
      </w:r>
    </w:p>
    <w:p>
      <w:pPr>
        <w:ind w:firstLine="640" w:firstLineChars="200"/>
        <w:rPr>
          <w:rFonts w:eastAsia="仿宋_GB2312"/>
          <w:color w:val="C00000"/>
        </w:rPr>
      </w:pPr>
      <w:r>
        <w:rPr>
          <w:rFonts w:hint="eastAsia" w:ascii="仿宋_GB2312" w:hAnsi="仿宋" w:eastAsia="仿宋_GB2312" w:cs="仿宋"/>
          <w:color w:val="000000"/>
          <w:sz w:val="32"/>
          <w:szCs w:val="32"/>
        </w:rPr>
        <w:t>1．全口径、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公共预算财政拨款和政府性基金预算财政拨款的结转和结余资金本年年初数与上年年末数不一致的</w:t>
      </w:r>
      <w:r>
        <w:rPr>
          <w:rFonts w:hint="eastAsia" w:ascii="仿宋_GB2312" w:hAnsi="仿宋" w:eastAsia="仿宋_GB2312" w:cs="仿宋"/>
          <w:sz w:val="32"/>
          <w:szCs w:val="32"/>
        </w:rPr>
        <w:t>情况说明，包括会计</w:t>
      </w:r>
      <w:r>
        <w:rPr>
          <w:rFonts w:hint="eastAsia" w:ascii="仿宋_GB2312" w:hAnsi="仿宋" w:eastAsia="仿宋_GB2312" w:cs="仿宋"/>
          <w:bCs/>
          <w:sz w:val="32"/>
          <w:szCs w:val="32"/>
        </w:rPr>
        <w:t>差错更正、收回以前年度支出</w:t>
      </w:r>
      <w:r>
        <w:rPr>
          <w:rFonts w:hint="eastAsia" w:ascii="仿宋_GB2312" w:hAnsi="仿宋" w:eastAsia="仿宋_GB2312" w:cs="仿宋"/>
          <w:sz w:val="32"/>
          <w:szCs w:val="32"/>
        </w:rPr>
        <w:t>、归集调入、归集调出、归集上缴和缴回资金及单位内部调剂等情况（附表</w:t>
      </w:r>
      <w:r>
        <w:rPr>
          <w:rFonts w:hint="eastAsia" w:ascii="仿宋_GB2312" w:hAnsi="仿宋" w:eastAsia="仿宋_GB2312" w:cs="仿宋"/>
          <w:bCs/>
          <w:sz w:val="32"/>
          <w:szCs w:val="32"/>
        </w:rPr>
        <w:t>1</w:t>
      </w:r>
      <w:r>
        <w:rPr>
          <w:rFonts w:hint="eastAsia" w:ascii="仿宋_GB2312" w:hAnsi="仿宋" w:eastAsia="仿宋_GB2312" w:cs="仿宋"/>
          <w:sz w:val="32"/>
          <w:szCs w:val="32"/>
        </w:rPr>
        <w:t>）。因新旧会计制度转换，按照法定会计政策变更追溯调整形成的差异，在“其他”栏目填列并在备注予以说明。</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2．主要指标上下年变动幅度超过20%，其中机构人员指标上下年有变动的，应具体核实并说明原因（附表</w:t>
      </w:r>
      <w:r>
        <w:rPr>
          <w:rFonts w:hint="eastAsia" w:ascii="仿宋_GB2312" w:hAnsi="仿宋" w:eastAsia="仿宋_GB2312" w:cs="仿宋"/>
          <w:bCs/>
          <w:color w:val="000000"/>
          <w:sz w:val="32"/>
          <w:szCs w:val="32"/>
        </w:rPr>
        <w:t>2</w:t>
      </w:r>
      <w:r>
        <w:rPr>
          <w:rFonts w:hint="eastAsia" w:ascii="仿宋_GB2312" w:hAnsi="仿宋" w:eastAsia="仿宋_GB2312" w:cs="仿宋"/>
          <w:color w:val="000000"/>
          <w:sz w:val="32"/>
          <w:szCs w:val="32"/>
        </w:rPr>
        <w:t>）。</w:t>
      </w:r>
    </w:p>
    <w:p>
      <w:pPr>
        <w:ind w:firstLine="709"/>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详见部门决算报表</w:t>
      </w:r>
    </w:p>
    <w:p>
      <w:pPr>
        <w:numPr>
          <w:ilvl w:val="0"/>
          <w:numId w:val="1"/>
        </w:num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资产</w:t>
      </w:r>
      <w:r>
        <w:rPr>
          <w:rFonts w:ascii="仿宋_GB2312" w:hAnsi="仿宋" w:eastAsia="仿宋_GB2312" w:cs="仿宋"/>
          <w:color w:val="000000"/>
          <w:sz w:val="32"/>
          <w:szCs w:val="32"/>
        </w:rPr>
        <w:t>信息中房屋、</w:t>
      </w:r>
      <w:r>
        <w:rPr>
          <w:rFonts w:hint="eastAsia" w:ascii="仿宋_GB2312" w:hAnsi="仿宋" w:eastAsia="仿宋_GB2312" w:cs="仿宋"/>
          <w:color w:val="000000"/>
          <w:sz w:val="32"/>
          <w:szCs w:val="32"/>
        </w:rPr>
        <w:t>车辆</w:t>
      </w:r>
      <w:r>
        <w:rPr>
          <w:rFonts w:ascii="仿宋_GB2312" w:hAnsi="仿宋" w:eastAsia="仿宋_GB2312" w:cs="仿宋"/>
          <w:color w:val="000000"/>
          <w:sz w:val="32"/>
          <w:szCs w:val="32"/>
        </w:rPr>
        <w:t>本年年初数与上年年</w:t>
      </w:r>
      <w:r>
        <w:rPr>
          <w:rFonts w:hint="eastAsia" w:ascii="仿宋_GB2312" w:hAnsi="仿宋" w:eastAsia="仿宋_GB2312" w:cs="仿宋"/>
          <w:color w:val="000000"/>
          <w:sz w:val="32"/>
          <w:szCs w:val="32"/>
        </w:rPr>
        <w:t>末</w:t>
      </w:r>
      <w:r>
        <w:rPr>
          <w:rFonts w:ascii="仿宋_GB2312" w:hAnsi="仿宋" w:eastAsia="仿宋_GB2312" w:cs="仿宋"/>
          <w:color w:val="000000"/>
          <w:sz w:val="32"/>
          <w:szCs w:val="32"/>
        </w:rPr>
        <w:t>数不一致的情况说明（基础数据核对任务</w:t>
      </w:r>
      <w:r>
        <w:rPr>
          <w:rFonts w:hint="eastAsia" w:ascii="仿宋_GB2312" w:hAnsi="仿宋" w:eastAsia="仿宋_GB2312" w:cs="仿宋"/>
          <w:color w:val="000000"/>
          <w:sz w:val="32"/>
          <w:szCs w:val="32"/>
        </w:rPr>
        <w:t>-结余</w:t>
      </w:r>
      <w:r>
        <w:rPr>
          <w:rFonts w:ascii="仿宋_GB2312" w:hAnsi="仿宋" w:eastAsia="仿宋_GB2312" w:cs="仿宋"/>
          <w:color w:val="000000"/>
          <w:sz w:val="32"/>
          <w:szCs w:val="32"/>
        </w:rPr>
        <w:t>核对</w:t>
      </w:r>
      <w:r>
        <w:rPr>
          <w:rFonts w:hint="eastAsia" w:ascii="仿宋_GB2312" w:hAnsi="仿宋" w:eastAsia="仿宋_GB2312" w:cs="仿宋"/>
          <w:color w:val="000000"/>
          <w:sz w:val="32"/>
          <w:szCs w:val="32"/>
        </w:rPr>
        <w:t>05表</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w:t>
      </w:r>
    </w:p>
    <w:p>
      <w:pPr>
        <w:numPr>
          <w:ilvl w:val="0"/>
          <w:numId w:val="0"/>
        </w:numPr>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无</w:t>
      </w:r>
    </w:p>
    <w:p>
      <w:pPr>
        <w:ind w:firstLine="709"/>
        <w:rPr>
          <w:rFonts w:ascii="黑体" w:hAnsi="黑体" w:eastAsia="黑体" w:cs="黑体"/>
          <w:color w:val="000000"/>
          <w:sz w:val="32"/>
          <w:szCs w:val="32"/>
        </w:rPr>
      </w:pPr>
      <w:r>
        <w:rPr>
          <w:rFonts w:hint="eastAsia" w:ascii="仿宋_GB2312" w:eastAsia="仿宋_GB2312" w:cs="Times New Roman"/>
          <w:color w:val="000000"/>
          <w:sz w:val="32"/>
          <w:szCs w:val="32"/>
        </w:rPr>
        <w:t> </w:t>
      </w:r>
      <w:r>
        <w:rPr>
          <w:rFonts w:hint="eastAsia" w:ascii="黑体" w:hAnsi="黑体" w:eastAsia="黑体" w:cs="黑体"/>
          <w:color w:val="000000"/>
          <w:sz w:val="32"/>
          <w:szCs w:val="32"/>
        </w:rPr>
        <w:t>四、报表审核情况</w:t>
      </w:r>
    </w:p>
    <w:p>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1．审核公式。</w:t>
      </w:r>
    </w:p>
    <w:p>
      <w:pPr>
        <w:ind w:firstLine="709"/>
        <w:rPr>
          <w:rFonts w:ascii="仿宋_GB2312" w:hAnsi="仿宋" w:eastAsia="仿宋_GB2312" w:cs="Times New Roman"/>
          <w:sz w:val="32"/>
          <w:szCs w:val="32"/>
        </w:rPr>
      </w:pPr>
      <w:r>
        <w:rPr>
          <w:rFonts w:hint="eastAsia" w:ascii="仿宋_GB2312" w:hAnsi="仿宋" w:eastAsia="仿宋_GB2312" w:cs="仿宋"/>
          <w:color w:val="000000"/>
          <w:sz w:val="32"/>
          <w:szCs w:val="32"/>
          <w:lang w:val="en-US" w:eastAsia="zh-CN"/>
        </w:rPr>
        <w:t>无</w:t>
      </w:r>
    </w:p>
    <w:p>
      <w:pPr>
        <w:ind w:firstLine="709"/>
        <w:rPr>
          <w:rFonts w:ascii="黑体" w:hAnsi="黑体" w:eastAsia="黑体" w:cs="Times New Roman"/>
          <w:sz w:val="32"/>
          <w:szCs w:val="32"/>
        </w:rPr>
      </w:pPr>
      <w:r>
        <w:rPr>
          <w:rFonts w:hint="eastAsia" w:ascii="黑体" w:hAnsi="黑体" w:eastAsia="黑体" w:cs="黑体"/>
          <w:sz w:val="32"/>
          <w:szCs w:val="32"/>
        </w:rPr>
        <w:t>五、决算数据其他需要说明的情况</w:t>
      </w:r>
    </w:p>
    <w:p>
      <w:pPr>
        <w:ind w:firstLine="709"/>
        <w:rPr>
          <w:rFonts w:hint="eastAsia" w:ascii="仿宋_GB2312" w:hAnsi="仿宋" w:eastAsia="仿宋_GB2312" w:cs="仿宋"/>
          <w:sz w:val="32"/>
          <w:szCs w:val="32"/>
        </w:rPr>
      </w:pPr>
      <w:r>
        <w:rPr>
          <w:rFonts w:hint="eastAsia" w:ascii="仿宋_GB2312" w:hAnsi="仿宋" w:eastAsia="仿宋_GB2312" w:cs="仿宋"/>
          <w:sz w:val="32"/>
          <w:szCs w:val="32"/>
        </w:rPr>
        <w:t>1．“收入决算表”中</w:t>
      </w:r>
      <w:r>
        <w:rPr>
          <w:rFonts w:hint="eastAsia" w:ascii="仿宋_GB2312" w:hAnsi="仿宋" w:eastAsia="仿宋_GB2312" w:cs="仿宋"/>
          <w:spacing w:val="6"/>
          <w:sz w:val="32"/>
          <w:szCs w:val="32"/>
        </w:rPr>
        <w:t>其他收入的具体构成情况，</w:t>
      </w:r>
      <w:r>
        <w:rPr>
          <w:rFonts w:hint="eastAsia" w:ascii="仿宋_GB2312" w:hAnsi="仿宋" w:eastAsia="仿宋_GB2312" w:cs="仿宋"/>
          <w:sz w:val="32"/>
          <w:szCs w:val="32"/>
        </w:rPr>
        <w:t>说明单位从同级财政以外的同级政府部门取得的横向转拨财政款、从上级或下级政府（包括政府财政和政府部门）取得的各类财政款，纳入单位预算管理的投资收益、利息收入、捐赠收入、事业单位固定资产出租收入等情况（附表</w:t>
      </w:r>
      <w:r>
        <w:rPr>
          <w:rFonts w:hint="eastAsia" w:ascii="仿宋_GB2312" w:hAnsi="仿宋" w:eastAsia="仿宋_GB2312" w:cs="仿宋"/>
          <w:bCs/>
          <w:sz w:val="32"/>
          <w:szCs w:val="32"/>
        </w:rPr>
        <w:t>3</w:t>
      </w:r>
      <w:r>
        <w:rPr>
          <w:rFonts w:hint="eastAsia" w:ascii="仿宋_GB2312" w:hAnsi="仿宋" w:eastAsia="仿宋_GB2312" w:cs="仿宋"/>
          <w:sz w:val="32"/>
          <w:szCs w:val="32"/>
        </w:rPr>
        <w:t>）。</w:t>
      </w:r>
    </w:p>
    <w:p>
      <w:pPr>
        <w:ind w:firstLine="709"/>
        <w:rPr>
          <w:rFonts w:hint="eastAsia" w:ascii="仿宋_GB2312" w:hAnsi="仿宋" w:eastAsia="仿宋_GB2312" w:cs="仿宋"/>
          <w:sz w:val="32"/>
          <w:szCs w:val="32"/>
        </w:rPr>
      </w:pPr>
      <w:r>
        <w:rPr>
          <w:rFonts w:hint="eastAsia" w:ascii="宋体" w:hAnsi="宋体" w:eastAsia="宋体" w:cs="宋体"/>
          <w:color w:val="000000"/>
          <w:sz w:val="30"/>
          <w:szCs w:val="30"/>
        </w:rPr>
        <w:t>详见部门决算报表</w:t>
      </w:r>
    </w:p>
    <w:p>
      <w:pPr>
        <w:ind w:firstLine="709"/>
        <w:rPr>
          <w:rFonts w:hint="eastAsia" w:ascii="仿宋_GB2312" w:hAnsi="仿宋" w:eastAsia="仿宋_GB2312" w:cs="仿宋"/>
          <w:color w:val="000000"/>
          <w:sz w:val="32"/>
          <w:szCs w:val="32"/>
        </w:rPr>
      </w:pPr>
      <w:r>
        <w:rPr>
          <w:rFonts w:hint="eastAsia" w:ascii="仿宋_GB2312" w:hAnsi="仿宋" w:eastAsia="仿宋_GB2312" w:cs="仿宋"/>
          <w:sz w:val="32"/>
          <w:szCs w:val="32"/>
        </w:rPr>
        <w:t>2.年末结转结余扣除经营亏损后如为负数，按资金性质分别</w:t>
      </w:r>
      <w:r>
        <w:rPr>
          <w:rFonts w:hint="eastAsia" w:ascii="仿宋_GB2312" w:hAnsi="仿宋" w:eastAsia="仿宋_GB2312" w:cs="仿宋"/>
          <w:color w:val="000000"/>
          <w:sz w:val="32"/>
          <w:szCs w:val="32"/>
        </w:rPr>
        <w:t>说明情况。</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无</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3．“项目支出决算明细表”中列支“工资福利支出”和“对个人和家庭的补助”的依据及说明。</w:t>
      </w:r>
    </w:p>
    <w:p>
      <w:pPr>
        <w:ind w:firstLine="709"/>
        <w:rPr>
          <w:rFonts w:hint="eastAsia" w:ascii="仿宋_GB2312" w:hAnsi="仿宋" w:eastAsia="仿宋_GB2312" w:cs="仿宋"/>
          <w:color w:val="000000"/>
          <w:sz w:val="32"/>
          <w:szCs w:val="32"/>
        </w:rPr>
      </w:pPr>
      <w:r>
        <w:rPr>
          <w:rFonts w:hint="eastAsia" w:ascii="宋体" w:hAnsi="宋体" w:eastAsia="宋体" w:cs="宋体"/>
          <w:color w:val="000000"/>
          <w:sz w:val="30"/>
          <w:szCs w:val="30"/>
        </w:rPr>
        <w:t>根据财务报表及根据权责发生制原则进行了调整。</w:t>
      </w:r>
    </w:p>
    <w:p>
      <w:pPr>
        <w:numPr>
          <w:ilvl w:val="0"/>
          <w:numId w:val="1"/>
        </w:numPr>
        <w:tabs>
          <w:tab w:val="clear" w:pos="312"/>
        </w:tabs>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“三公”经费统计数</w:t>
      </w:r>
      <w:r>
        <w:rPr>
          <w:rFonts w:ascii="仿宋_GB2312" w:hAnsi="仿宋" w:eastAsia="仿宋_GB2312" w:cs="仿宋"/>
          <w:color w:val="000000"/>
          <w:sz w:val="32"/>
          <w:szCs w:val="32"/>
        </w:rPr>
        <w:t>的特殊情况</w:t>
      </w:r>
      <w:r>
        <w:rPr>
          <w:rFonts w:hint="eastAsia" w:ascii="仿宋_GB2312" w:hAnsi="仿宋" w:eastAsia="仿宋_GB2312" w:cs="仿宋"/>
          <w:color w:val="000000"/>
          <w:sz w:val="32"/>
          <w:szCs w:val="32"/>
        </w:rPr>
        <w:t>说明</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无</w:t>
      </w:r>
    </w:p>
    <w:p>
      <w:pPr>
        <w:ind w:firstLine="709"/>
        <w:rPr>
          <w:rFonts w:hint="default" w:ascii="仿宋_GB2312" w:hAnsi="仿宋" w:eastAsia="仿宋_GB2312" w:cs="仿宋"/>
          <w:bCs/>
          <w:sz w:val="32"/>
          <w:szCs w:val="32"/>
          <w:lang w:val="en-US" w:eastAsia="zh-CN"/>
        </w:rPr>
      </w:pPr>
      <w:r>
        <w:rPr>
          <w:rFonts w:hint="eastAsia" w:ascii="仿宋_GB2312" w:hAnsi="仿宋" w:eastAsia="仿宋_GB2312" w:cs="仿宋"/>
          <w:bCs/>
          <w:color w:val="000000"/>
          <w:sz w:val="32"/>
          <w:szCs w:val="32"/>
        </w:rPr>
        <w:t>5.行</w:t>
      </w:r>
      <w:r>
        <w:rPr>
          <w:rFonts w:hint="eastAsia" w:ascii="仿宋_GB2312" w:hAnsi="仿宋" w:eastAsia="仿宋_GB2312" w:cs="仿宋"/>
          <w:bCs/>
          <w:sz w:val="32"/>
          <w:szCs w:val="32"/>
        </w:rPr>
        <w:t>政单位、参照公务员法管理的事业单位机关运行经费支出情况，以及与上年数对比变动原因说明。</w:t>
      </w:r>
      <w:r>
        <w:rPr>
          <w:rFonts w:hint="eastAsia" w:ascii="仿宋_GB2312" w:hAnsi="仿宋" w:eastAsia="仿宋_GB2312" w:cs="仿宋"/>
          <w:bCs/>
          <w:sz w:val="32"/>
          <w:szCs w:val="32"/>
          <w:lang w:val="en-US" w:eastAsia="zh-CN"/>
        </w:rPr>
        <w:t>详见部门决算报表</w:t>
      </w:r>
    </w:p>
    <w:p>
      <w:pPr>
        <w:ind w:firstLine="709"/>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6.政府采购支出情况，包括采购类型、采购规模和授予中小企业合同金额等。</w:t>
      </w:r>
      <w:r>
        <w:rPr>
          <w:rFonts w:hint="eastAsia" w:ascii="仿宋_GB2312" w:hAnsi="仿宋" w:eastAsia="仿宋_GB2312" w:cs="仿宋"/>
          <w:bCs/>
          <w:sz w:val="32"/>
          <w:szCs w:val="32"/>
          <w:lang w:val="en-US" w:eastAsia="zh-CN"/>
        </w:rPr>
        <w:t>无</w:t>
      </w:r>
    </w:p>
    <w:p>
      <w:pPr>
        <w:ind w:firstLine="709"/>
        <w:rPr>
          <w:rFonts w:ascii="仿宋_GB2312" w:hAnsi="仿宋" w:eastAsia="仿宋_GB2312" w:cs="仿宋"/>
          <w:color w:val="000000"/>
          <w:sz w:val="32"/>
          <w:szCs w:val="32"/>
        </w:rPr>
      </w:pPr>
      <w:r>
        <w:rPr>
          <w:rFonts w:hint="eastAsia" w:ascii="仿宋_GB2312" w:hAnsi="仿宋" w:eastAsia="仿宋_GB2312" w:cs="仿宋"/>
          <w:bCs/>
          <w:sz w:val="32"/>
          <w:szCs w:val="32"/>
        </w:rPr>
        <w:t>7.“收入支出决算总表”中如调</w:t>
      </w:r>
      <w:r>
        <w:rPr>
          <w:rFonts w:hint="eastAsia" w:ascii="仿宋_GB2312" w:hAnsi="仿宋" w:eastAsia="仿宋_GB2312" w:cs="仿宋"/>
          <w:bCs/>
          <w:color w:val="000000"/>
          <w:sz w:val="32"/>
          <w:szCs w:val="32"/>
        </w:rPr>
        <w:t>整预算数大于年初预算数，</w:t>
      </w:r>
      <w:r>
        <w:rPr>
          <w:rFonts w:hint="eastAsia" w:ascii="仿宋_GB2312" w:hAnsi="仿宋" w:eastAsia="仿宋_GB2312" w:cs="仿宋"/>
          <w:color w:val="000000"/>
          <w:sz w:val="32"/>
          <w:szCs w:val="32"/>
        </w:rPr>
        <w:t>说明单位财政拨款预算和非财政拨款预算调整情况以及经审批或备案的文件依据。</w:t>
      </w:r>
    </w:p>
    <w:p>
      <w:pPr>
        <w:ind w:firstLine="709"/>
        <w:rPr>
          <w:rFonts w:hint="eastAsia" w:ascii="仿宋_GB2312" w:hAnsi="仿宋" w:eastAsia="仿宋_GB2312" w:cs="仿宋"/>
          <w:sz w:val="32"/>
          <w:szCs w:val="32"/>
          <w:lang w:val="en-US" w:eastAsia="zh-CN"/>
        </w:rPr>
      </w:pPr>
      <w:r>
        <w:rPr>
          <w:rFonts w:ascii="仿宋_GB2312" w:hAnsi="仿宋" w:eastAsia="仿宋_GB2312" w:cs="仿宋"/>
          <w:sz w:val="32"/>
          <w:szCs w:val="32"/>
        </w:rPr>
        <w:t>8.其他需要说明的问题。</w:t>
      </w:r>
      <w:r>
        <w:rPr>
          <w:rFonts w:hint="eastAsia" w:ascii="仿宋_GB2312" w:hAnsi="仿宋" w:eastAsia="仿宋_GB2312" w:cs="仿宋"/>
          <w:sz w:val="32"/>
          <w:szCs w:val="32"/>
        </w:rPr>
        <w:t>如中央单位驻外机构有关情况（附表</w:t>
      </w:r>
      <w:r>
        <w:rPr>
          <w:rFonts w:ascii="仿宋_GB2312" w:hAnsi="仿宋" w:eastAsia="仿宋_GB2312" w:cs="仿宋"/>
          <w:sz w:val="32"/>
          <w:szCs w:val="32"/>
        </w:rPr>
        <w:t>5、6）。</w:t>
      </w:r>
      <w:r>
        <w:rPr>
          <w:rFonts w:hint="eastAsia" w:ascii="仿宋_GB2312" w:hAnsi="仿宋" w:eastAsia="仿宋_GB2312" w:cs="仿宋"/>
          <w:sz w:val="32"/>
          <w:szCs w:val="32"/>
          <w:lang w:val="en-US" w:eastAsia="zh-CN"/>
        </w:rPr>
        <w:t>无</w:t>
      </w:r>
    </w:p>
    <w:p>
      <w:pPr>
        <w:pStyle w:val="2"/>
        <w:bidi w:val="0"/>
        <w:ind w:firstLine="843" w:firstLineChars="100"/>
        <w:jc w:val="center"/>
        <w:rPr>
          <w:rFonts w:hint="eastAsia" w:ascii="黑体" w:hAnsi="黑体" w:eastAsia="黑体" w:cs="黑体"/>
          <w:sz w:val="84"/>
          <w:szCs w:val="84"/>
          <w:lang w:val="en-US" w:eastAsia="zh-CN"/>
        </w:rPr>
      </w:pPr>
    </w:p>
    <w:p>
      <w:pPr>
        <w:pStyle w:val="2"/>
        <w:bidi w:val="0"/>
        <w:ind w:firstLine="843" w:firstLineChars="100"/>
        <w:jc w:val="center"/>
        <w:rPr>
          <w:rFonts w:hint="eastAsia" w:ascii="黑体" w:hAnsi="黑体" w:eastAsia="黑体" w:cs="黑体"/>
          <w:sz w:val="84"/>
          <w:szCs w:val="84"/>
          <w:lang w:val="en-US" w:eastAsia="zh-CN"/>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44"/>
          <w:szCs w:val="44"/>
          <w:lang w:val="en-US" w:eastAsia="zh-CN"/>
        </w:rPr>
        <w:t>第三部分 鹅湖镇人民政府部门整体支出绩效自评报告</w:t>
      </w:r>
    </w:p>
    <w:p>
      <w:pPr>
        <w:spacing w:line="560" w:lineRule="exact"/>
        <w:jc w:val="center"/>
        <w:rPr>
          <w:rFonts w:ascii="楷体_GB2312" w:hAnsi="楷体_GB2312" w:eastAsia="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rPr>
        <w:t>年度）</w:t>
      </w:r>
    </w:p>
    <w:p>
      <w:pPr>
        <w:spacing w:line="560" w:lineRule="exact"/>
        <w:jc w:val="center"/>
        <w:rPr>
          <w:rFonts w:ascii="仿宋" w:hAnsi="仿宋" w:eastAsia="仿宋"/>
          <w:szCs w:val="21"/>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一、部门概况</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部门主要职责职能，组织架构、人员及资产等基本情况：</w:t>
      </w:r>
    </w:p>
    <w:p>
      <w:pPr>
        <w:spacing w:line="560" w:lineRule="exact"/>
        <w:ind w:firstLine="560" w:firstLineChars="200"/>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浮梁县鹅湖镇人民政府</w:t>
      </w:r>
      <w:r>
        <w:rPr>
          <w:rFonts w:hint="eastAsia" w:ascii="仿宋" w:hAnsi="仿宋" w:eastAsia="仿宋" w:cs="仿宋"/>
          <w:sz w:val="28"/>
          <w:szCs w:val="28"/>
        </w:rPr>
        <w:t>下属有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鹅湖镇</w:t>
      </w:r>
      <w:r>
        <w:rPr>
          <w:rFonts w:hint="eastAsia" w:ascii="仿宋" w:hAnsi="仿宋" w:eastAsia="仿宋" w:cs="仿宋"/>
          <w:sz w:val="28"/>
          <w:szCs w:val="28"/>
          <w:lang w:eastAsia="zh-CN"/>
        </w:rPr>
        <w:t>党政</w:t>
      </w:r>
      <w:r>
        <w:rPr>
          <w:rFonts w:hint="eastAsia" w:ascii="仿宋" w:hAnsi="仿宋" w:eastAsia="仿宋" w:cs="仿宋"/>
          <w:sz w:val="28"/>
          <w:szCs w:val="28"/>
          <w:lang w:val="en-US" w:eastAsia="zh-CN"/>
        </w:rPr>
        <w:t>办公室、鹅湖镇财政办公室、乡村振兴工作站、统计站、民政办公室、应急所环保所、规划建设办公室、退役军人服务站、群众工作办公室、综治办公室、开发办公室、人保所、水利站、交管站、卫计办公室、新村办公室、文化站、农业农村办公室、林长办公室、消防队、纪委办公室、司法所。</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镇人民政府202</w:t>
      </w:r>
      <w:r>
        <w:rPr>
          <w:rFonts w:hint="eastAsia" w:ascii="仿宋" w:hAnsi="仿宋" w:eastAsia="仿宋" w:cs="仿宋"/>
          <w:sz w:val="28"/>
          <w:szCs w:val="28"/>
          <w:lang w:val="en-US" w:eastAsia="zh-CN"/>
        </w:rPr>
        <w:t>1</w:t>
      </w:r>
      <w:r>
        <w:rPr>
          <w:rFonts w:hint="eastAsia" w:ascii="仿宋" w:hAnsi="仿宋" w:eastAsia="仿宋" w:cs="仿宋"/>
          <w:sz w:val="28"/>
          <w:szCs w:val="28"/>
        </w:rPr>
        <w:t>年末实有人员编制</w:t>
      </w:r>
      <w:r>
        <w:rPr>
          <w:rFonts w:hint="eastAsia" w:ascii="仿宋" w:hAnsi="仿宋" w:eastAsia="仿宋" w:cs="仿宋"/>
          <w:sz w:val="28"/>
          <w:szCs w:val="28"/>
          <w:lang w:val="en-US" w:eastAsia="zh-CN"/>
        </w:rPr>
        <w:t>65</w:t>
      </w:r>
      <w:r>
        <w:rPr>
          <w:rFonts w:hint="eastAsia" w:ascii="仿宋" w:hAnsi="仿宋" w:eastAsia="仿宋" w:cs="仿宋"/>
          <w:sz w:val="28"/>
          <w:szCs w:val="28"/>
        </w:rPr>
        <w:t>人。其中：行政编制</w:t>
      </w:r>
      <w:r>
        <w:rPr>
          <w:rFonts w:hint="eastAsia" w:ascii="仿宋" w:hAnsi="仿宋" w:eastAsia="仿宋" w:cs="仿宋"/>
          <w:sz w:val="28"/>
          <w:szCs w:val="28"/>
          <w:lang w:val="en-US" w:eastAsia="zh-CN"/>
        </w:rPr>
        <w:t>33</w:t>
      </w:r>
      <w:r>
        <w:rPr>
          <w:rFonts w:hint="eastAsia" w:ascii="仿宋" w:hAnsi="仿宋" w:eastAsia="仿宋" w:cs="仿宋"/>
          <w:sz w:val="28"/>
          <w:szCs w:val="28"/>
        </w:rPr>
        <w:t>人，事业编制</w:t>
      </w:r>
      <w:r>
        <w:rPr>
          <w:rFonts w:hint="eastAsia" w:ascii="仿宋" w:hAnsi="仿宋" w:eastAsia="仿宋" w:cs="仿宋"/>
          <w:sz w:val="28"/>
          <w:szCs w:val="28"/>
          <w:lang w:val="en-US" w:eastAsia="zh-CN"/>
        </w:rPr>
        <w:t>32</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非编</w:t>
      </w:r>
      <w:r>
        <w:rPr>
          <w:rFonts w:hint="eastAsia" w:ascii="仿宋" w:hAnsi="仿宋" w:eastAsia="仿宋" w:cs="仿宋"/>
          <w:sz w:val="28"/>
          <w:szCs w:val="28"/>
        </w:rPr>
        <w:t>人员</w:t>
      </w:r>
      <w:r>
        <w:rPr>
          <w:rFonts w:hint="eastAsia" w:ascii="仿宋" w:hAnsi="仿宋" w:eastAsia="仿宋" w:cs="仿宋"/>
          <w:sz w:val="28"/>
          <w:szCs w:val="28"/>
          <w:lang w:val="en-US" w:eastAsia="zh-CN"/>
        </w:rPr>
        <w:t>19</w:t>
      </w:r>
      <w:r>
        <w:rPr>
          <w:rFonts w:hint="eastAsia" w:ascii="仿宋" w:hAnsi="仿宋" w:eastAsia="仿宋" w:cs="仿宋"/>
          <w:sz w:val="28"/>
          <w:szCs w:val="28"/>
        </w:rPr>
        <w:t>人</w:t>
      </w:r>
      <w:r>
        <w:rPr>
          <w:rFonts w:hint="eastAsia" w:ascii="仿宋" w:hAnsi="仿宋" w:eastAsia="仿宋" w:cs="仿宋"/>
          <w:sz w:val="28"/>
          <w:szCs w:val="28"/>
          <w:lang w:eastAsia="zh-CN"/>
        </w:rPr>
        <w:t>。</w:t>
      </w:r>
    </w:p>
    <w:p>
      <w:pPr>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职能职责：执行本级人民代表大会决议以及上级国家行政机关的决定和命令；执行全镇的社会和经济发展计划、预算，管理本镇内的经济、教育、科技、文化、卫生、体育事业和财政、民政、治安、人民调解、安全生产监督管理、移民开发、计划生育等行政工作；保护社会主义的全民所有财产和劳动群众集体所有财产，保护公民私人所有的合法财产，维护社会秩序，保障公民的人身权利、民主权利和其他权利；保护各种经济组织的合法权益；贯彻执行党和国家的民族宗教政策，保障少数民族的权利和尊重少数民族的风俗习惯，尊重民族宗教信仰；保障宪法和法律赋予妇女的男女平等、婚姻自由等各项权利；办理上级人民政府交办的其他事项。</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（三）当年部门履职总体目标、工作任务：</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1.</w:t>
      </w:r>
      <w:r>
        <w:rPr>
          <w:rFonts w:hint="eastAsia" w:ascii="仿宋" w:hAnsi="仿宋" w:eastAsia="仿宋" w:cs="仿宋"/>
          <w:sz w:val="28"/>
          <w:szCs w:val="28"/>
        </w:rPr>
        <w:t>优化区域产业布局，加快产业转型升级，拓宽经济多元化增收渠道。不断探索创新生产方式，带动全镇传统农业向高效现代农业转型升级。</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2.</w:t>
      </w:r>
      <w:r>
        <w:rPr>
          <w:rFonts w:hint="eastAsia" w:ascii="仿宋" w:hAnsi="仿宋" w:eastAsia="仿宋" w:cs="仿宋"/>
          <w:sz w:val="28"/>
          <w:szCs w:val="28"/>
        </w:rPr>
        <w:t>紧盯脱贫成效巩固，有效衔接乡村振兴，奠定乡村振兴开局基础。全面巩固脱贫攻坚成效，坚决把打好精准脱贫攻坚战作为实施乡村振兴战略的优先任务，立足脱贫实际和乡村振兴发展要求，通盘考虑、统筹谋划，促进乡村振兴与脱贫攻坚有机衔接。</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全面优化营商环境，提升招商引资吸引力，奠定全面加快发展根基。牢固树立抓项目建设就是抓地方发展的理念，充分运用区位优势资源，找准工作短板，重点围绕以完善农田水利、道路交通、活动场所配套设施、乡村振兴等为重点的基础设施保障体系建设，切实抓好招商引资工作，有力推进我镇经济社会健康、稳定发展。</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扎实开展源头防治，强化人居环境监督，加快美丽宜居</w:t>
      </w:r>
      <w:r>
        <w:rPr>
          <w:rFonts w:hint="eastAsia" w:ascii="仿宋" w:hAnsi="仿宋" w:eastAsia="仿宋" w:cs="仿宋"/>
          <w:sz w:val="28"/>
          <w:szCs w:val="28"/>
          <w:lang w:val="en-US" w:eastAsia="zh-CN"/>
        </w:rPr>
        <w:t>鹅湖</w:t>
      </w:r>
      <w:r>
        <w:rPr>
          <w:rFonts w:hint="eastAsia" w:ascii="仿宋" w:hAnsi="仿宋" w:eastAsia="仿宋" w:cs="仿宋"/>
          <w:sz w:val="28"/>
          <w:szCs w:val="28"/>
        </w:rPr>
        <w:t>建设。全面开展以污染源防治、乡村振兴示范点建设、“厕所革命”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殡葬改革</w:t>
      </w:r>
      <w:r>
        <w:rPr>
          <w:rFonts w:hint="eastAsia" w:ascii="仿宋" w:hAnsi="仿宋" w:eastAsia="仿宋" w:cs="仿宋"/>
          <w:sz w:val="28"/>
          <w:szCs w:val="28"/>
        </w:rPr>
        <w:t>和村庄环境卫生监管等为主要内容的生态环境整治攻坚战工作。</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5.</w:t>
      </w:r>
      <w:r>
        <w:rPr>
          <w:rFonts w:hint="eastAsia" w:ascii="仿宋" w:hAnsi="仿宋" w:eastAsia="仿宋" w:cs="仿宋"/>
          <w:sz w:val="28"/>
          <w:szCs w:val="28"/>
        </w:rPr>
        <w:t>发展社会各项事业，全面增强民生福祉，提升人民群众满意指数。进一步统筹发展社会事业，把人民群众对美好生活的向往转化为我们努力推进各项社会事业协调发展的目标导向，坚持优化发展教育理念，强化社会保障、就业服务、基本医疗、教育均衡等基本公共服务。</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6.</w:t>
      </w:r>
      <w:r>
        <w:rPr>
          <w:rFonts w:hint="eastAsia" w:ascii="仿宋" w:hAnsi="仿宋" w:eastAsia="仿宋" w:cs="仿宋"/>
          <w:sz w:val="28"/>
          <w:szCs w:val="28"/>
        </w:rPr>
        <w:t>压实安全生产责任，切实化解矛盾纠纷，全面营造和谐稳定社会。严格落实安全生产责任体系，积极开展信访维稳矛盾纠纷化解，全面巩固当前社会稳定，民族团结的大好形势。</w:t>
      </w:r>
    </w:p>
    <w:p>
      <w:pPr>
        <w:rPr>
          <w:rFonts w:hint="eastAsia" w:ascii="仿宋_GB2312" w:hAnsi="仿宋_GB2312" w:eastAsia="仿宋_GB2312" w:cs="仿宋_GB2312"/>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7.</w:t>
      </w:r>
      <w:r>
        <w:rPr>
          <w:rFonts w:hint="eastAsia" w:ascii="仿宋" w:hAnsi="仿宋" w:eastAsia="仿宋" w:cs="仿宋"/>
          <w:sz w:val="28"/>
          <w:szCs w:val="28"/>
        </w:rPr>
        <w:t>加快政府职能转变，强化政府自身建设，不断提高政务服务水平。扎实推进“两学一做”学习教育常态化制度化，持续开展“不忘初心、牢记使命”主题教育，坚持把学习贯彻党的十九大和十九届二中、三中、四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五中、六中</w:t>
      </w:r>
      <w:r>
        <w:rPr>
          <w:rFonts w:hint="eastAsia" w:ascii="仿宋" w:hAnsi="仿宋" w:eastAsia="仿宋" w:cs="仿宋"/>
          <w:sz w:val="28"/>
          <w:szCs w:val="28"/>
        </w:rPr>
        <w:t>全会精神作为首要政治任务来抓，增强政府服务能力，弘扬敢于担当、勇于创新、善作善成的干事创业作风。</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部门预算绩效管理开展情况</w:t>
      </w:r>
      <w:r>
        <w:rPr>
          <w:rFonts w:hint="eastAsia" w:ascii="仿宋_GB2312" w:hAnsi="仿宋_GB2312" w:eastAsia="仿宋_GB2312" w:cs="仿宋_GB2312"/>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1.鹅湖</w:t>
      </w:r>
      <w:r>
        <w:rPr>
          <w:rFonts w:hint="eastAsia" w:ascii="仿宋" w:hAnsi="仿宋" w:eastAsia="仿宋" w:cs="仿宋"/>
          <w:sz w:val="28"/>
          <w:szCs w:val="28"/>
        </w:rPr>
        <w:t>镇人民政府编制了《部门整体支出绩效目标》，同时加强项目库项目和绩效目标的编制、审核管理，项目资金经项目挂接才能划拨。</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绩效评价依据</w:t>
      </w:r>
    </w:p>
    <w:p>
      <w:pPr>
        <w:rPr>
          <w:rFonts w:hint="eastAsia" w:ascii="仿宋" w:hAnsi="仿宋" w:eastAsia="仿宋" w:cs="仿宋"/>
          <w:sz w:val="28"/>
          <w:szCs w:val="28"/>
        </w:rPr>
      </w:pPr>
      <w:r>
        <w:rPr>
          <w:rFonts w:hint="eastAsia" w:ascii="仿宋" w:hAnsi="仿宋" w:eastAsia="仿宋" w:cs="仿宋"/>
          <w:sz w:val="28"/>
          <w:szCs w:val="28"/>
        </w:rPr>
        <w:t>　　（1）《中华人民共和国预算法》；</w:t>
      </w:r>
    </w:p>
    <w:p>
      <w:pPr>
        <w:rPr>
          <w:rFonts w:hint="eastAsia" w:ascii="仿宋" w:hAnsi="仿宋" w:eastAsia="仿宋" w:cs="仿宋"/>
          <w:sz w:val="28"/>
          <w:szCs w:val="28"/>
        </w:rPr>
      </w:pPr>
      <w:r>
        <w:rPr>
          <w:rFonts w:hint="eastAsia" w:ascii="仿宋" w:hAnsi="仿宋" w:eastAsia="仿宋" w:cs="仿宋"/>
          <w:sz w:val="28"/>
          <w:szCs w:val="28"/>
        </w:rPr>
        <w:t>　　（2）《财政部关于印发&lt;财政支出绩效评价管理暂行办法&gt;的通知》（财预〔2011〕285号）；</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）《中华人民共和国会计法》、《中华人民共和国政府采购法》、《财政违法行为处罚处分条例》等国家、省、州相关财政财务法律、制度、规定和行业项目管理制度、资金管理办法，资金下达文件等；</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.绩效评价的原则、评价指标及方法</w:t>
      </w:r>
    </w:p>
    <w:p>
      <w:pPr>
        <w:ind w:firstLine="640"/>
        <w:rPr>
          <w:rFonts w:hint="eastAsia" w:ascii="仿宋_GB2312" w:hAnsi="仿宋_GB2312" w:eastAsia="仿宋_GB2312" w:cs="仿宋_GB2312"/>
          <w:sz w:val="28"/>
          <w:szCs w:val="28"/>
        </w:rPr>
      </w:pPr>
      <w:r>
        <w:rPr>
          <w:rFonts w:hint="eastAsia" w:ascii="仿宋" w:hAnsi="仿宋" w:eastAsia="仿宋" w:cs="仿宋"/>
          <w:sz w:val="28"/>
          <w:szCs w:val="28"/>
        </w:rPr>
        <w:t>本次绩效评价遵循科学规范、公正公开、分级分类、绩效相关原则，采用比较法和专家评议法、公众评议法以及问卷调查法等方法，定量与定性相结合，单位自评与中介机构评价相结合的办法。评价指标体系详见绩效评价工作方案及评价指标体系。</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当年部门预算及执行情况。</w:t>
      </w:r>
    </w:p>
    <w:p>
      <w:pPr>
        <w:ind w:firstLine="640"/>
        <w:rPr>
          <w:rFonts w:hint="eastAsia" w:ascii="仿宋" w:hAnsi="仿宋" w:eastAsia="仿宋" w:cs="仿宋"/>
          <w:sz w:val="28"/>
          <w:szCs w:val="28"/>
          <w:lang w:val="zh-CN"/>
        </w:rPr>
      </w:pPr>
      <w:r>
        <w:rPr>
          <w:rFonts w:hint="eastAsia" w:ascii="仿宋" w:hAnsi="仿宋" w:eastAsia="仿宋" w:cs="仿宋"/>
          <w:sz w:val="28"/>
          <w:szCs w:val="28"/>
        </w:rPr>
        <w:t>2021</w:t>
      </w:r>
      <w:r>
        <w:rPr>
          <w:rFonts w:hint="eastAsia" w:ascii="仿宋" w:hAnsi="仿宋" w:eastAsia="仿宋" w:cs="仿宋"/>
          <w:sz w:val="28"/>
          <w:szCs w:val="28"/>
          <w:lang w:val="zh-CN"/>
        </w:rPr>
        <w:t>年，镇财政总收入完成</w:t>
      </w:r>
      <w:r>
        <w:rPr>
          <w:rFonts w:hint="eastAsia" w:ascii="仿宋" w:hAnsi="仿宋" w:eastAsia="仿宋" w:cs="仿宋"/>
          <w:sz w:val="28"/>
          <w:szCs w:val="28"/>
        </w:rPr>
        <w:t>2266万</w:t>
      </w:r>
      <w:r>
        <w:rPr>
          <w:rFonts w:hint="eastAsia" w:ascii="仿宋" w:hAnsi="仿宋" w:eastAsia="仿宋" w:cs="仿宋"/>
          <w:sz w:val="28"/>
          <w:szCs w:val="28"/>
          <w:lang w:val="zh-CN"/>
        </w:rPr>
        <w:t>元，</w:t>
      </w:r>
      <w:r>
        <w:rPr>
          <w:rFonts w:hint="eastAsia" w:ascii="仿宋" w:hAnsi="仿宋" w:eastAsia="仿宋" w:cs="仿宋"/>
          <w:sz w:val="28"/>
          <w:szCs w:val="28"/>
        </w:rPr>
        <w:t>一般公共预算收入完成832万元。</w:t>
      </w:r>
      <w:r>
        <w:rPr>
          <w:rFonts w:hint="eastAsia" w:ascii="仿宋" w:hAnsi="仿宋" w:eastAsia="仿宋" w:cs="仿宋"/>
          <w:sz w:val="28"/>
          <w:szCs w:val="28"/>
          <w:lang w:val="zh-CN"/>
        </w:rPr>
        <w:t>财政总支出</w:t>
      </w:r>
      <w:r>
        <w:rPr>
          <w:rFonts w:hint="eastAsia" w:ascii="仿宋" w:hAnsi="仿宋" w:eastAsia="仿宋" w:cs="仿宋"/>
          <w:sz w:val="28"/>
          <w:szCs w:val="28"/>
        </w:rPr>
        <w:t>6127万</w:t>
      </w:r>
      <w:r>
        <w:rPr>
          <w:rFonts w:hint="eastAsia" w:ascii="仿宋" w:hAnsi="仿宋" w:eastAsia="仿宋" w:cs="仿宋"/>
          <w:sz w:val="28"/>
          <w:szCs w:val="28"/>
          <w:lang w:val="zh-CN"/>
        </w:rPr>
        <w:t>元，</w:t>
      </w:r>
      <w:r>
        <w:rPr>
          <w:rFonts w:hint="eastAsia" w:ascii="仿宋" w:hAnsi="仿宋" w:eastAsia="仿宋" w:cs="仿宋"/>
          <w:sz w:val="28"/>
          <w:szCs w:val="28"/>
        </w:rPr>
        <w:t>其中：一般公共</w:t>
      </w:r>
      <w:r>
        <w:rPr>
          <w:rFonts w:hint="eastAsia" w:ascii="仿宋" w:hAnsi="仿宋" w:eastAsia="仿宋" w:cs="仿宋"/>
          <w:sz w:val="28"/>
          <w:szCs w:val="28"/>
          <w:lang w:val="zh-CN"/>
        </w:rPr>
        <w:t>预算支出</w:t>
      </w:r>
      <w:r>
        <w:rPr>
          <w:rFonts w:hint="eastAsia" w:ascii="仿宋" w:hAnsi="仿宋" w:eastAsia="仿宋" w:cs="仿宋"/>
          <w:sz w:val="28"/>
          <w:szCs w:val="28"/>
        </w:rPr>
        <w:t>5562万</w:t>
      </w:r>
      <w:r>
        <w:rPr>
          <w:rFonts w:hint="eastAsia" w:ascii="仿宋" w:hAnsi="仿宋" w:eastAsia="仿宋" w:cs="仿宋"/>
          <w:sz w:val="28"/>
          <w:szCs w:val="28"/>
          <w:lang w:val="zh-CN"/>
        </w:rPr>
        <w:t>元，</w:t>
      </w:r>
      <w:r>
        <w:rPr>
          <w:rFonts w:hint="eastAsia" w:ascii="仿宋" w:hAnsi="仿宋" w:eastAsia="仿宋" w:cs="仿宋"/>
          <w:sz w:val="28"/>
          <w:szCs w:val="28"/>
        </w:rPr>
        <w:t>主要项目完成情况为：一般公共服务支出550万元，公共安全支出4万元，文化体育与传媒支出19万元，社会保障和就业支出837万元，卫生健康支出109万元，节能环保支出199万元，城乡社区支出845万元，农林水支出2579万元，住房保障支出4万元，灾害防治及应急管理支出389万元，其他支出16万元；</w:t>
      </w:r>
      <w:r>
        <w:rPr>
          <w:rFonts w:hint="eastAsia" w:ascii="仿宋" w:hAnsi="仿宋" w:eastAsia="仿宋" w:cs="仿宋"/>
          <w:sz w:val="28"/>
          <w:szCs w:val="28"/>
          <w:lang w:val="zh-CN"/>
        </w:rPr>
        <w:t>基金支出</w:t>
      </w:r>
      <w:r>
        <w:rPr>
          <w:rFonts w:hint="eastAsia" w:ascii="仿宋" w:hAnsi="仿宋" w:eastAsia="仿宋" w:cs="仿宋"/>
          <w:sz w:val="28"/>
          <w:szCs w:val="28"/>
        </w:rPr>
        <w:t>565万</w:t>
      </w:r>
      <w:r>
        <w:rPr>
          <w:rFonts w:hint="eastAsia" w:ascii="仿宋" w:hAnsi="仿宋" w:eastAsia="仿宋" w:cs="仿宋"/>
          <w:sz w:val="28"/>
          <w:szCs w:val="28"/>
          <w:lang w:val="zh-CN"/>
        </w:rPr>
        <w:t>元。</w:t>
      </w:r>
    </w:p>
    <w:p>
      <w:pPr>
        <w:ind w:firstLine="640"/>
        <w:rPr>
          <w:rFonts w:hint="eastAsia" w:ascii="仿宋" w:hAnsi="仿宋" w:eastAsia="仿宋" w:cs="仿宋"/>
          <w:sz w:val="28"/>
          <w:szCs w:val="28"/>
        </w:rPr>
      </w:pPr>
      <w:r>
        <w:rPr>
          <w:rFonts w:hint="eastAsia" w:ascii="仿宋" w:hAnsi="仿宋" w:eastAsia="仿宋" w:cs="仿宋"/>
          <w:sz w:val="28"/>
          <w:szCs w:val="28"/>
        </w:rPr>
        <w:t>一般公共预算收入加体制性转移支付、财力性转移支付、专项转移支付、上年结余等，总收入合计为6127万元；一般公共预算支出加上解支出、结转下年使用支出等，总支出合计为6127万元，当年收支平衡。</w:t>
      </w: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二、部门整体支出绩效实现情况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（一）绩效自评目的</w:t>
      </w:r>
    </w:p>
    <w:p>
      <w:pPr>
        <w:ind w:firstLine="640"/>
        <w:rPr>
          <w:rFonts w:hint="eastAsia" w:ascii="仿宋" w:hAnsi="仿宋" w:eastAsia="仿宋" w:cs="仿宋"/>
          <w:sz w:val="28"/>
          <w:szCs w:val="28"/>
        </w:rPr>
      </w:pPr>
      <w:r>
        <w:rPr>
          <w:rFonts w:hint="eastAsia" w:ascii="仿宋" w:hAnsi="仿宋" w:eastAsia="仿宋" w:cs="仿宋"/>
          <w:sz w:val="28"/>
          <w:szCs w:val="28"/>
        </w:rPr>
        <w:t>了解202</w:t>
      </w:r>
      <w:r>
        <w:rPr>
          <w:rFonts w:hint="default" w:ascii="仿宋" w:hAnsi="仿宋" w:eastAsia="仿宋" w:cs="仿宋"/>
          <w:sz w:val="28"/>
          <w:szCs w:val="28"/>
        </w:rPr>
        <w:t>1</w:t>
      </w:r>
      <w:r>
        <w:rPr>
          <w:rFonts w:hint="eastAsia" w:ascii="仿宋" w:hAnsi="仿宋" w:eastAsia="仿宋" w:cs="仿宋"/>
          <w:sz w:val="28"/>
          <w:szCs w:val="28"/>
        </w:rPr>
        <w:t>年度</w:t>
      </w:r>
      <w:r>
        <w:rPr>
          <w:rFonts w:hint="eastAsia" w:ascii="仿宋" w:hAnsi="仿宋" w:eastAsia="仿宋" w:cs="仿宋"/>
          <w:sz w:val="28"/>
          <w:szCs w:val="28"/>
          <w:lang w:val="en-US" w:eastAsia="zh-Hans"/>
        </w:rPr>
        <w:t>浮梁县</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整体支出情况、年度工作任务及项目完成情况、年度履职情况，以及所取得的效果。通过评价，在部门预算配置、预算执行等方面总结经验，找准存在的问题，为进一步加强和规范部门资金支出，提升预算配置的科学合理性，优化财政支出结构提供决策参考和依据，为下一步部门整体支出绩效评价的逐步推开进行经验性积累奠定基础。</w:t>
      </w:r>
    </w:p>
    <w:p>
      <w:pPr>
        <w:ind w:firstLine="640"/>
        <w:rPr>
          <w:rFonts w:hint="eastAsia" w:ascii="仿宋" w:hAnsi="仿宋" w:eastAsia="仿宋" w:cs="仿宋"/>
          <w:sz w:val="28"/>
          <w:szCs w:val="28"/>
        </w:rPr>
      </w:pPr>
      <w:r>
        <w:rPr>
          <w:rFonts w:hint="eastAsia" w:ascii="仿宋" w:hAnsi="仿宋" w:eastAsia="仿宋" w:cs="仿宋"/>
          <w:sz w:val="28"/>
          <w:szCs w:val="28"/>
        </w:rPr>
        <w:t>（二）履职效果情况：财政</w:t>
      </w:r>
      <w:r>
        <w:rPr>
          <w:rFonts w:hint="eastAsia" w:ascii="仿宋" w:hAnsi="仿宋" w:eastAsia="仿宋" w:cs="仿宋"/>
          <w:sz w:val="28"/>
          <w:szCs w:val="28"/>
          <w:lang w:val="en-US" w:eastAsia="zh-CN"/>
        </w:rPr>
        <w:t>办</w:t>
      </w:r>
      <w:r>
        <w:rPr>
          <w:rFonts w:hint="eastAsia" w:ascii="仿宋" w:hAnsi="仿宋" w:eastAsia="仿宋" w:cs="仿宋"/>
          <w:sz w:val="28"/>
          <w:szCs w:val="28"/>
        </w:rPr>
        <w:t>严格按照关于</w:t>
      </w:r>
      <w:r>
        <w:rPr>
          <w:rFonts w:hint="eastAsia" w:ascii="仿宋" w:hAnsi="仿宋" w:eastAsia="仿宋" w:cs="仿宋"/>
          <w:sz w:val="28"/>
          <w:szCs w:val="28"/>
          <w:lang w:val="en-US" w:eastAsia="zh-Hans"/>
        </w:rPr>
        <w:t>全面实施预算绩效管理的实施</w:t>
      </w:r>
      <w:r>
        <w:rPr>
          <w:rFonts w:hint="eastAsia" w:ascii="仿宋" w:hAnsi="仿宋" w:eastAsia="仿宋" w:cs="仿宋"/>
          <w:sz w:val="28"/>
          <w:szCs w:val="28"/>
        </w:rPr>
        <w:t>意见</w:t>
      </w:r>
      <w:r>
        <w:rPr>
          <w:rFonts w:hint="default" w:ascii="仿宋" w:hAnsi="仿宋" w:eastAsia="仿宋" w:cs="仿宋"/>
          <w:sz w:val="28"/>
          <w:szCs w:val="28"/>
        </w:rPr>
        <w:t>（</w:t>
      </w:r>
      <w:r>
        <w:rPr>
          <w:rFonts w:hint="eastAsia" w:ascii="仿宋" w:hAnsi="仿宋" w:eastAsia="仿宋" w:cs="仿宋"/>
          <w:sz w:val="28"/>
          <w:szCs w:val="28"/>
          <w:lang w:val="en-US" w:eastAsia="zh-Hans"/>
        </w:rPr>
        <w:t>浮发</w:t>
      </w:r>
      <w:r>
        <w:rPr>
          <w:rFonts w:hint="default" w:ascii="仿宋" w:hAnsi="仿宋" w:eastAsia="仿宋" w:cs="仿宋"/>
          <w:sz w:val="28"/>
          <w:szCs w:val="28"/>
          <w:lang w:eastAsia="zh-Hans"/>
        </w:rPr>
        <w:t>[</w:t>
      </w:r>
      <w:r>
        <w:rPr>
          <w:rFonts w:hint="eastAsia" w:ascii="仿宋" w:hAnsi="仿宋" w:eastAsia="仿宋" w:cs="仿宋"/>
          <w:sz w:val="28"/>
          <w:szCs w:val="28"/>
          <w:lang w:eastAsia="zh-CN"/>
        </w:rPr>
        <w:t>2021</w:t>
      </w:r>
      <w:r>
        <w:rPr>
          <w:rFonts w:hint="default" w:ascii="仿宋" w:hAnsi="仿宋" w:eastAsia="仿宋" w:cs="仿宋"/>
          <w:sz w:val="28"/>
          <w:szCs w:val="28"/>
        </w:rPr>
        <w:t>]2</w:t>
      </w:r>
      <w:r>
        <w:rPr>
          <w:rFonts w:hint="eastAsia" w:ascii="仿宋" w:hAnsi="仿宋" w:eastAsia="仿宋" w:cs="仿宋"/>
          <w:sz w:val="28"/>
          <w:szCs w:val="28"/>
          <w:lang w:val="en-US" w:eastAsia="zh-Hans"/>
        </w:rPr>
        <w:t>号</w:t>
      </w:r>
      <w:r>
        <w:rPr>
          <w:rFonts w:hint="eastAsia" w:ascii="仿宋" w:hAnsi="仿宋" w:eastAsia="仿宋" w:cs="仿宋"/>
          <w:sz w:val="28"/>
          <w:szCs w:val="28"/>
        </w:rPr>
        <w:t>）文件精神，集合收集的各项数据及相关表册要求，认真对照各项自评指标认真开展自评工作。</w:t>
      </w:r>
    </w:p>
    <w:p>
      <w:pPr>
        <w:ind w:firstLine="64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绩效自评指标体系（详见：附件</w:t>
      </w:r>
      <w:r>
        <w:rPr>
          <w:rFonts w:hint="default" w:ascii="仿宋" w:hAnsi="仿宋" w:eastAsia="仿宋" w:cs="仿宋"/>
          <w:sz w:val="28"/>
          <w:szCs w:val="28"/>
        </w:rPr>
        <w:t>3</w:t>
      </w:r>
      <w:r>
        <w:rPr>
          <w:rFonts w:hint="eastAsia" w:ascii="仿宋" w:hAnsi="仿宋" w:eastAsia="仿宋" w:cs="仿宋"/>
          <w:sz w:val="28"/>
          <w:szCs w:val="28"/>
        </w:rPr>
        <w:t>部门整体支出绩效评价共性指标体系框架）</w:t>
      </w:r>
    </w:p>
    <w:p>
      <w:pPr>
        <w:ind w:firstLine="64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绩效自评结论</w:t>
      </w:r>
    </w:p>
    <w:p>
      <w:pPr>
        <w:ind w:firstLine="640"/>
        <w:rPr>
          <w:rFonts w:hint="eastAsia" w:ascii="仿宋" w:hAnsi="仿宋" w:eastAsia="仿宋" w:cs="仿宋"/>
          <w:sz w:val="28"/>
          <w:szCs w:val="28"/>
        </w:rPr>
      </w:pPr>
      <w:r>
        <w:rPr>
          <w:rFonts w:hint="eastAsia" w:ascii="仿宋" w:hAnsi="仿宋" w:eastAsia="仿宋" w:cs="仿宋"/>
          <w:sz w:val="28"/>
          <w:szCs w:val="28"/>
          <w:lang w:val="en-US" w:eastAsia="zh-Hans"/>
        </w:rPr>
        <w:t>浮梁县</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镇人民政府202</w:t>
      </w:r>
      <w:r>
        <w:rPr>
          <w:rFonts w:hint="default" w:ascii="仿宋" w:hAnsi="仿宋" w:eastAsia="仿宋" w:cs="仿宋"/>
          <w:sz w:val="28"/>
          <w:szCs w:val="28"/>
        </w:rPr>
        <w:t>1</w:t>
      </w:r>
      <w:r>
        <w:rPr>
          <w:rFonts w:hint="eastAsia" w:ascii="仿宋" w:hAnsi="仿宋" w:eastAsia="仿宋" w:cs="仿宋"/>
          <w:sz w:val="28"/>
          <w:szCs w:val="28"/>
        </w:rPr>
        <w:t>年部门整体执行的绩效情况基本达到预期。202</w:t>
      </w:r>
      <w:r>
        <w:rPr>
          <w:rFonts w:hint="default" w:ascii="仿宋" w:hAnsi="仿宋" w:eastAsia="仿宋" w:cs="仿宋"/>
          <w:sz w:val="28"/>
          <w:szCs w:val="28"/>
        </w:rPr>
        <w:t>1</w:t>
      </w:r>
      <w:r>
        <w:rPr>
          <w:rFonts w:hint="eastAsia" w:ascii="仿宋" w:hAnsi="仿宋" w:eastAsia="仿宋" w:cs="仿宋"/>
          <w:sz w:val="28"/>
          <w:szCs w:val="28"/>
        </w:rPr>
        <w:t>年</w:t>
      </w:r>
      <w:r>
        <w:rPr>
          <w:rFonts w:hint="eastAsia" w:ascii="仿宋" w:hAnsi="仿宋" w:eastAsia="仿宋" w:cs="仿宋"/>
          <w:sz w:val="28"/>
          <w:szCs w:val="28"/>
          <w:lang w:val="en-US" w:eastAsia="zh-CN"/>
        </w:rPr>
        <w:t>鹅湖</w:t>
      </w:r>
      <w:r>
        <w:rPr>
          <w:rFonts w:hint="eastAsia" w:ascii="仿宋" w:hAnsi="仿宋" w:eastAsia="仿宋" w:cs="仿宋"/>
          <w:sz w:val="28"/>
          <w:szCs w:val="28"/>
          <w:lang w:val="en-US" w:eastAsia="zh-Hans"/>
        </w:rPr>
        <w:t>镇</w:t>
      </w:r>
      <w:r>
        <w:rPr>
          <w:rFonts w:hint="eastAsia" w:ascii="仿宋" w:hAnsi="仿宋" w:eastAsia="仿宋" w:cs="仿宋"/>
          <w:sz w:val="28"/>
          <w:szCs w:val="28"/>
        </w:rPr>
        <w:t>人民政府积极谋划、开源节流，顶住经济发展和财政收入增幅放缓大环境的双重压力，一方面强化收入征管，积极组织财政收入，优化支出结构；另一方面，挖掘潜力、盘活存量，统筹兼顾、合理调度，保障重点支出，提高财政资金使用效益，财政收支保持良好发展势头，预算执行情况整体良好。 通过各项工作的开展，取得了良好的履职效果，也得到了社会公众和服务对象的认可。</w:t>
      </w:r>
    </w:p>
    <w:p>
      <w:pPr>
        <w:ind w:firstLine="280" w:firstLineChars="100"/>
        <w:rPr>
          <w:rFonts w:hint="eastAsia" w:ascii="仿宋" w:hAnsi="仿宋" w:eastAsia="仿宋" w:cs="仿宋"/>
          <w:sz w:val="28"/>
          <w:szCs w:val="28"/>
          <w:lang w:eastAsia="zh-Hans"/>
        </w:rPr>
      </w:pPr>
      <w:r>
        <w:rPr>
          <w:rFonts w:hint="eastAsia" w:ascii="仿宋" w:hAnsi="仿宋" w:eastAsia="仿宋" w:cs="仿宋"/>
          <w:sz w:val="28"/>
          <w:szCs w:val="28"/>
        </w:rPr>
        <w:t>　根据</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镇人民政府填报的资料，对照绩效评价评分标准，对</w:t>
      </w:r>
      <w:r>
        <w:rPr>
          <w:rFonts w:hint="eastAsia" w:ascii="仿宋" w:hAnsi="仿宋" w:eastAsia="仿宋" w:cs="仿宋"/>
          <w:sz w:val="28"/>
          <w:szCs w:val="28"/>
          <w:lang w:val="en-US" w:eastAsia="zh-CN"/>
        </w:rPr>
        <w:t>鹅湖</w:t>
      </w:r>
      <w:r>
        <w:rPr>
          <w:rFonts w:hint="eastAsia" w:ascii="仿宋" w:hAnsi="仿宋" w:eastAsia="仿宋" w:cs="仿宋"/>
          <w:sz w:val="28"/>
          <w:szCs w:val="28"/>
        </w:rPr>
        <w:t>镇人民政府部门整体支出的各项指标进行评价并打分，最终</w:t>
      </w:r>
      <w:r>
        <w:rPr>
          <w:rFonts w:hint="eastAsia" w:ascii="仿宋" w:hAnsi="仿宋" w:eastAsia="仿宋" w:cs="仿宋"/>
          <w:sz w:val="28"/>
          <w:szCs w:val="28"/>
          <w:lang w:val="en-US" w:eastAsia="zh-CN"/>
        </w:rPr>
        <w:t>鹅湖</w:t>
      </w:r>
      <w:r>
        <w:rPr>
          <w:rFonts w:hint="eastAsia" w:ascii="仿宋" w:hAnsi="仿宋" w:eastAsia="仿宋" w:cs="仿宋"/>
          <w:sz w:val="28"/>
          <w:szCs w:val="28"/>
          <w:lang w:val="en-US" w:eastAsia="zh-Hans"/>
        </w:rPr>
        <w:t>镇</w:t>
      </w:r>
      <w:r>
        <w:rPr>
          <w:rFonts w:hint="eastAsia" w:ascii="仿宋" w:hAnsi="仿宋" w:eastAsia="仿宋" w:cs="仿宋"/>
          <w:sz w:val="28"/>
          <w:szCs w:val="28"/>
        </w:rPr>
        <w:t>人民政府部门整体支出绩效评价综合得分为</w:t>
      </w:r>
      <w:r>
        <w:rPr>
          <w:rFonts w:hint="eastAsia" w:ascii="仿宋" w:hAnsi="仿宋" w:eastAsia="仿宋" w:cs="仿宋"/>
          <w:sz w:val="28"/>
          <w:szCs w:val="28"/>
          <w:lang w:val="en-US" w:eastAsia="zh-CN"/>
        </w:rPr>
        <w:t>99</w:t>
      </w:r>
      <w:r>
        <w:rPr>
          <w:rFonts w:hint="eastAsia" w:ascii="仿宋" w:hAnsi="仿宋" w:eastAsia="仿宋" w:cs="仿宋"/>
          <w:sz w:val="28"/>
          <w:szCs w:val="28"/>
        </w:rPr>
        <w:t>分。其中：</w:t>
      </w:r>
      <w:r>
        <w:rPr>
          <w:rFonts w:hint="eastAsia" w:ascii="仿宋" w:hAnsi="仿宋" w:eastAsia="仿宋" w:cs="仿宋"/>
          <w:sz w:val="28"/>
          <w:szCs w:val="28"/>
          <w:lang w:val="en-US" w:eastAsia="zh-Hans"/>
        </w:rPr>
        <w:t>管理指标</w:t>
      </w:r>
      <w:r>
        <w:rPr>
          <w:rFonts w:hint="eastAsia" w:ascii="仿宋" w:hAnsi="仿宋" w:eastAsia="仿宋" w:cs="仿宋"/>
          <w:sz w:val="28"/>
          <w:szCs w:val="28"/>
          <w:lang w:val="en-US" w:eastAsia="zh-CN"/>
        </w:rPr>
        <w:t>29</w:t>
      </w:r>
      <w:r>
        <w:rPr>
          <w:rFonts w:hint="eastAsia" w:ascii="仿宋" w:hAnsi="仿宋" w:eastAsia="仿宋" w:cs="仿宋"/>
          <w:sz w:val="28"/>
          <w:szCs w:val="28"/>
          <w:lang w:val="en-US" w:eastAsia="zh-Hans"/>
        </w:rPr>
        <w:t>分</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产出指标</w:t>
      </w:r>
      <w:r>
        <w:rPr>
          <w:rFonts w:hint="default" w:ascii="仿宋" w:hAnsi="仿宋" w:eastAsia="仿宋" w:cs="仿宋"/>
          <w:sz w:val="28"/>
          <w:szCs w:val="28"/>
          <w:lang w:eastAsia="zh-Hans"/>
        </w:rPr>
        <w:t>25</w:t>
      </w:r>
      <w:r>
        <w:rPr>
          <w:rFonts w:hint="eastAsia" w:ascii="仿宋" w:hAnsi="仿宋" w:eastAsia="仿宋" w:cs="仿宋"/>
          <w:sz w:val="28"/>
          <w:szCs w:val="28"/>
          <w:lang w:val="en-US" w:eastAsia="zh-Hans"/>
        </w:rPr>
        <w:t>分</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效果指标</w:t>
      </w:r>
      <w:r>
        <w:rPr>
          <w:rFonts w:hint="default" w:ascii="仿宋" w:hAnsi="仿宋" w:eastAsia="仿宋" w:cs="仿宋"/>
          <w:sz w:val="28"/>
          <w:szCs w:val="28"/>
          <w:lang w:eastAsia="zh-Hans"/>
        </w:rPr>
        <w:t>35</w:t>
      </w:r>
      <w:r>
        <w:rPr>
          <w:rFonts w:hint="eastAsia" w:ascii="仿宋" w:hAnsi="仿宋" w:eastAsia="仿宋" w:cs="仿宋"/>
          <w:sz w:val="28"/>
          <w:szCs w:val="28"/>
          <w:lang w:val="en-US" w:eastAsia="zh-Hans"/>
        </w:rPr>
        <w:t>分</w:t>
      </w:r>
      <w:r>
        <w:rPr>
          <w:rFonts w:hint="default" w:ascii="仿宋" w:hAnsi="仿宋" w:eastAsia="仿宋" w:cs="仿宋"/>
          <w:sz w:val="28"/>
          <w:szCs w:val="28"/>
          <w:lang w:eastAsia="zh-Hans"/>
        </w:rPr>
        <w:t>，</w:t>
      </w:r>
      <w:r>
        <w:rPr>
          <w:rFonts w:hint="eastAsia" w:ascii="仿宋" w:hAnsi="仿宋" w:eastAsia="仿宋" w:cs="仿宋"/>
          <w:sz w:val="28"/>
          <w:szCs w:val="28"/>
          <w:lang w:val="en-US" w:eastAsia="zh-Hans"/>
        </w:rPr>
        <w:t>满意度指标</w:t>
      </w:r>
      <w:r>
        <w:rPr>
          <w:rFonts w:hint="default" w:ascii="仿宋" w:hAnsi="仿宋" w:eastAsia="仿宋" w:cs="仿宋"/>
          <w:sz w:val="28"/>
          <w:szCs w:val="28"/>
          <w:lang w:eastAsia="zh-Hans"/>
        </w:rPr>
        <w:t>1</w:t>
      </w:r>
      <w:r>
        <w:rPr>
          <w:rFonts w:hint="eastAsia" w:ascii="仿宋" w:hAnsi="仿宋" w:eastAsia="仿宋" w:cs="仿宋"/>
          <w:sz w:val="28"/>
          <w:szCs w:val="28"/>
        </w:rPr>
        <w:t>0</w:t>
      </w:r>
      <w:r>
        <w:rPr>
          <w:rFonts w:hint="eastAsia" w:ascii="仿宋" w:hAnsi="仿宋" w:eastAsia="仿宋" w:cs="仿宋"/>
          <w:sz w:val="28"/>
          <w:szCs w:val="28"/>
          <w:lang w:val="en-US" w:eastAsia="zh-Hans"/>
        </w:rPr>
        <w:t>分</w:t>
      </w:r>
      <w:r>
        <w:rPr>
          <w:rFonts w:hint="eastAsia" w:ascii="仿宋" w:hAnsi="仿宋" w:eastAsia="仿宋" w:cs="仿宋"/>
          <w:sz w:val="28"/>
          <w:szCs w:val="28"/>
        </w:rPr>
        <w:t>。（详见：附件</w:t>
      </w:r>
      <w:r>
        <w:rPr>
          <w:rFonts w:hint="default" w:ascii="仿宋" w:hAnsi="仿宋" w:eastAsia="仿宋" w:cs="仿宋"/>
          <w:sz w:val="28"/>
          <w:szCs w:val="28"/>
        </w:rPr>
        <w:t>4</w:t>
      </w:r>
      <w:r>
        <w:rPr>
          <w:rFonts w:hint="eastAsia" w:ascii="仿宋" w:hAnsi="仿宋" w:eastAsia="仿宋" w:cs="仿宋"/>
          <w:sz w:val="28"/>
          <w:szCs w:val="28"/>
        </w:rPr>
        <w:t xml:space="preserve"> 部门整体支出绩效自评表）</w:t>
      </w:r>
    </w:p>
    <w:p>
      <w:pPr>
        <w:ind w:firstLine="640"/>
        <w:rPr>
          <w:rFonts w:hint="eastAsia" w:ascii="仿宋" w:hAnsi="仿宋" w:eastAsia="仿宋" w:cs="仿宋"/>
          <w:sz w:val="28"/>
          <w:szCs w:val="28"/>
        </w:rPr>
      </w:pPr>
    </w:p>
    <w:p>
      <w:pPr>
        <w:ind w:firstLine="640"/>
        <w:rPr>
          <w:rFonts w:hint="eastAsia" w:ascii="仿宋" w:hAnsi="仿宋" w:eastAsia="仿宋" w:cs="仿宋"/>
          <w:sz w:val="28"/>
          <w:szCs w:val="28"/>
        </w:rPr>
      </w:pPr>
      <w:bookmarkStart w:id="0" w:name="_GoBack"/>
      <w:bookmarkEnd w:id="0"/>
    </w:p>
    <w:p>
      <w:pPr>
        <w:ind w:firstLine="640"/>
        <w:rPr>
          <w:rFonts w:hint="eastAsia" w:ascii="仿宋" w:hAnsi="仿宋" w:eastAsia="仿宋" w:cs="仿宋"/>
          <w:sz w:val="28"/>
          <w:szCs w:val="28"/>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三、部门整体支出绩效中存在问题及改进措施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（一）部门总体投入情况分析</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鹅湖镇</w:t>
      </w:r>
      <w:r>
        <w:rPr>
          <w:rFonts w:hint="eastAsia" w:ascii="仿宋" w:hAnsi="仿宋" w:eastAsia="仿宋" w:cs="仿宋"/>
          <w:sz w:val="32"/>
          <w:szCs w:val="32"/>
        </w:rPr>
        <w:t>人民政府严格按照部门预算编制要求认真和</w:t>
      </w:r>
      <w:r>
        <w:rPr>
          <w:rFonts w:hint="eastAsia" w:ascii="仿宋" w:hAnsi="仿宋" w:eastAsia="仿宋" w:cs="仿宋"/>
          <w:color w:val="000000" w:themeColor="text1"/>
          <w:sz w:val="32"/>
          <w:szCs w:val="32"/>
          <w14:textFill>
            <w14:solidFill>
              <w14:schemeClr w14:val="tx1"/>
            </w14:solidFill>
          </w14:textFill>
        </w:rPr>
        <w:t>规范组织人员按时编制年度部门预算，充分结合部门职责、</w:t>
      </w:r>
      <w:r>
        <w:rPr>
          <w:rFonts w:hint="eastAsia" w:ascii="仿宋" w:hAnsi="仿宋" w:eastAsia="仿宋" w:cs="仿宋"/>
          <w:sz w:val="32"/>
          <w:szCs w:val="32"/>
        </w:rPr>
        <w:t>年度工作任务设立部门整体绩效目标，整体绩效目标符合国家法律法规、社会发展总体规划计和部门年度工作计划，并将部门整体的绩效目标充分细化、量化。</w:t>
      </w:r>
    </w:p>
    <w:p>
      <w:pPr>
        <w:rPr>
          <w:rFonts w:hint="eastAsia" w:ascii="仿宋" w:hAnsi="仿宋" w:eastAsia="仿宋" w:cs="仿宋"/>
          <w:sz w:val="32"/>
          <w:szCs w:val="32"/>
        </w:rPr>
      </w:pPr>
      <w:r>
        <w:rPr>
          <w:rFonts w:hint="eastAsia" w:ascii="仿宋" w:hAnsi="仿宋" w:eastAsia="仿宋" w:cs="仿宋"/>
          <w:sz w:val="32"/>
          <w:szCs w:val="32"/>
        </w:rPr>
        <w:t>　　（二）部门过程管理情况分析</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　　</w:t>
      </w:r>
      <w:r>
        <w:rPr>
          <w:rFonts w:hint="eastAsia" w:ascii="仿宋" w:hAnsi="仿宋" w:eastAsia="仿宋" w:cs="仿宋"/>
          <w:color w:val="000000" w:themeColor="text1"/>
          <w:sz w:val="32"/>
          <w:szCs w:val="32"/>
          <w14:textFill>
            <w14:solidFill>
              <w14:schemeClr w14:val="tx1"/>
            </w14:solidFill>
          </w14:textFill>
        </w:rPr>
        <w:t>1.预算执行情况：严格按规定时限、模板公开预决算信息。</w:t>
      </w:r>
    </w:p>
    <w:p>
      <w:pPr>
        <w:rPr>
          <w:rFonts w:hint="eastAsia" w:ascii="仿宋" w:hAnsi="仿宋" w:eastAsia="仿宋" w:cs="仿宋"/>
          <w:sz w:val="32"/>
          <w:szCs w:val="32"/>
        </w:rPr>
      </w:pPr>
      <w:r>
        <w:rPr>
          <w:rFonts w:hint="eastAsia" w:ascii="仿宋" w:hAnsi="仿宋" w:eastAsia="仿宋" w:cs="仿宋"/>
          <w:sz w:val="32"/>
          <w:szCs w:val="32"/>
        </w:rPr>
        <w:t>　　2.资金管理情况：资金管理过程中严格按照县级制定的预算资金管理、财务管理制度和会计核算制度等内部控制制度执行，资金的拨付有完整的审批程序和手续，重大经费开支经过镇级主要会议评估、论证，并请示上级部门，资金支出符合国家财经法规和财务管理制度规定以及有关专项资金管理办法的规定，资金管理过程中不存在截留、挤占、挪用、虚列支出等情况。</w:t>
      </w:r>
    </w:p>
    <w:p>
      <w:pPr>
        <w:rPr>
          <w:rFonts w:hint="eastAsia" w:ascii="仿宋" w:hAnsi="仿宋" w:eastAsia="仿宋" w:cs="仿宋"/>
          <w:sz w:val="32"/>
          <w:szCs w:val="32"/>
        </w:rPr>
      </w:pPr>
      <w:r>
        <w:rPr>
          <w:rFonts w:hint="eastAsia" w:ascii="仿宋" w:hAnsi="仿宋" w:eastAsia="仿宋" w:cs="仿宋"/>
          <w:sz w:val="32"/>
          <w:szCs w:val="32"/>
        </w:rPr>
        <w:t>　　3.资产管理情况：严格按照</w:t>
      </w:r>
      <w:r>
        <w:rPr>
          <w:rFonts w:hint="eastAsia" w:ascii="仿宋" w:hAnsi="仿宋" w:eastAsia="仿宋" w:cs="仿宋"/>
          <w:sz w:val="32"/>
          <w:szCs w:val="32"/>
          <w:lang w:val="en-US" w:eastAsia="zh-CN"/>
        </w:rPr>
        <w:t>市</w:t>
      </w:r>
      <w:r>
        <w:rPr>
          <w:rFonts w:hint="eastAsia" w:ascii="仿宋" w:hAnsi="仿宋" w:eastAsia="仿宋" w:cs="仿宋"/>
          <w:sz w:val="32"/>
          <w:szCs w:val="32"/>
        </w:rPr>
        <w:t>、县制定的相关资产管理的制度执行，做到资产账实相符、配置合理，做到资产有偿使用及处置收入及时足额上缴国库。</w:t>
      </w:r>
    </w:p>
    <w:p>
      <w:pPr>
        <w:rPr>
          <w:rFonts w:hint="eastAsia" w:ascii="仿宋" w:hAnsi="仿宋" w:eastAsia="仿宋" w:cs="仿宋"/>
          <w:sz w:val="32"/>
          <w:szCs w:val="32"/>
        </w:rPr>
      </w:pPr>
      <w:r>
        <w:rPr>
          <w:rFonts w:hint="eastAsia" w:ascii="仿宋" w:hAnsi="仿宋" w:eastAsia="仿宋" w:cs="仿宋"/>
          <w:sz w:val="32"/>
          <w:szCs w:val="32"/>
        </w:rPr>
        <w:t>　　（三）部门产出情况分析</w:t>
      </w:r>
    </w:p>
    <w:p>
      <w:pPr>
        <w:rPr>
          <w:rFonts w:hint="eastAsia" w:ascii="仿宋" w:hAnsi="仿宋" w:eastAsia="仿宋" w:cs="仿宋"/>
          <w:sz w:val="32"/>
          <w:szCs w:val="32"/>
        </w:rPr>
      </w:pPr>
      <w:r>
        <w:rPr>
          <w:rFonts w:hint="eastAsia" w:ascii="仿宋" w:hAnsi="仿宋" w:eastAsia="仿宋" w:cs="仿宋"/>
          <w:sz w:val="32"/>
          <w:szCs w:val="32"/>
        </w:rPr>
        <w:t>　　坚决完成县委县政府绩效考核指标或上级主管部门考核指标，工作任务完成及时率100%，本部门重点工作办结率100%。</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四</w:t>
      </w:r>
      <w:r>
        <w:rPr>
          <w:rFonts w:hint="eastAsia" w:ascii="仿宋" w:hAnsi="仿宋" w:eastAsia="仿宋" w:cs="仿宋"/>
          <w:sz w:val="32"/>
          <w:szCs w:val="32"/>
        </w:rPr>
        <w:t>）部门效果分析</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鹅湖</w:t>
      </w:r>
      <w:r>
        <w:rPr>
          <w:rFonts w:hint="eastAsia" w:ascii="仿宋" w:hAnsi="仿宋" w:eastAsia="仿宋" w:cs="仿宋"/>
          <w:sz w:val="32"/>
          <w:szCs w:val="32"/>
        </w:rPr>
        <w:t>镇人民政府认真履行政府职责，积极承担社会发展管理责任，努力实现政府职能效益，社会公众或服务对象满意度</w:t>
      </w:r>
      <w:r>
        <w:rPr>
          <w:rFonts w:hint="eastAsia" w:ascii="仿宋" w:hAnsi="仿宋" w:eastAsia="仿宋" w:cs="仿宋"/>
          <w:sz w:val="32"/>
          <w:szCs w:val="32"/>
          <w:lang w:val="en-US" w:eastAsia="zh-Hans"/>
        </w:rPr>
        <w:t>良好</w:t>
      </w:r>
      <w:r>
        <w:rPr>
          <w:rFonts w:hint="eastAsia" w:ascii="仿宋" w:hAnsi="仿宋" w:eastAsia="仿宋" w:cs="仿宋"/>
          <w:sz w:val="32"/>
          <w:szCs w:val="32"/>
          <w:lang w:eastAsia="zh-CN"/>
        </w:rPr>
        <w:t>。</w:t>
      </w:r>
    </w:p>
    <w:p>
      <w:pPr>
        <w:rPr>
          <w:rFonts w:hint="eastAsia" w:ascii="仿宋" w:hAnsi="仿宋" w:eastAsia="仿宋" w:cs="仿宋"/>
          <w:sz w:val="28"/>
          <w:szCs w:val="28"/>
        </w:rPr>
      </w:pPr>
    </w:p>
    <w:p>
      <w:pPr>
        <w:spacing w:line="560" w:lineRule="exact"/>
        <w:ind w:firstLine="560" w:firstLineChars="200"/>
        <w:rPr>
          <w:rFonts w:ascii="黑体" w:hAnsi="黑体" w:eastAsia="黑体"/>
          <w:sz w:val="28"/>
          <w:szCs w:val="28"/>
        </w:rPr>
      </w:pPr>
      <w:r>
        <w:rPr>
          <w:rFonts w:hint="eastAsia" w:ascii="黑体" w:hAnsi="黑体" w:eastAsia="黑体" w:cs="黑体"/>
          <w:sz w:val="28"/>
          <w:szCs w:val="28"/>
        </w:rPr>
        <w:t>四、绩效自评结果拟应用和公开情况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经过审核过后，将</w:t>
      </w:r>
      <w:r>
        <w:rPr>
          <w:rFonts w:hint="eastAsia" w:ascii="仿宋" w:hAnsi="仿宋" w:eastAsia="仿宋" w:cs="仿宋"/>
          <w:sz w:val="28"/>
          <w:szCs w:val="28"/>
        </w:rPr>
        <w:t>评价结果向社会公开。</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ascii="黑体" w:hAnsi="黑体" w:eastAsia="黑体"/>
          <w:b/>
          <w:bCs/>
          <w:sz w:val="32"/>
          <w:szCs w:val="32"/>
          <w:highlight w:val="yellow"/>
        </w:rPr>
      </w:pPr>
    </w:p>
    <w:p>
      <w:pPr>
        <w:spacing w:line="578" w:lineRule="exact"/>
        <w:jc w:val="center"/>
        <w:rPr>
          <w:rFonts w:ascii="仿宋" w:hAnsi="仿宋" w:eastAsia="仿宋"/>
          <w:b/>
          <w:bCs/>
          <w:sz w:val="44"/>
          <w:szCs w:val="44"/>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16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371DF"/>
    <w:multiLevelType w:val="singleLevel"/>
    <w:tmpl w:val="627371DF"/>
    <w:lvl w:ilvl="0" w:tentative="0">
      <w:start w:val="2"/>
      <w:numFmt w:val="chineseCounting"/>
      <w:suff w:val="nothing"/>
      <w:lvlText w:val="（%1）"/>
      <w:lvlJc w:val="left"/>
    </w:lvl>
  </w:abstractNum>
  <w:abstractNum w:abstractNumId="1">
    <w:nsid w:val="66F8E2C9"/>
    <w:multiLevelType w:val="singleLevel"/>
    <w:tmpl w:val="66F8E2C9"/>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YjMzMzI2YjFhMGMwYzAyNzY1ZGYwYTY2MDYxOGMifQ=="/>
  </w:docVars>
  <w:rsids>
    <w:rsidRoot w:val="00000000"/>
    <w:rsid w:val="008B56F3"/>
    <w:rsid w:val="04122C0F"/>
    <w:rsid w:val="041514B3"/>
    <w:rsid w:val="073A7A87"/>
    <w:rsid w:val="0A962251"/>
    <w:rsid w:val="0A9B419C"/>
    <w:rsid w:val="0BA666C3"/>
    <w:rsid w:val="0C0A13CF"/>
    <w:rsid w:val="0DC8345E"/>
    <w:rsid w:val="12E10575"/>
    <w:rsid w:val="14EF116F"/>
    <w:rsid w:val="16094462"/>
    <w:rsid w:val="19976938"/>
    <w:rsid w:val="1A701E6E"/>
    <w:rsid w:val="1EC2767A"/>
    <w:rsid w:val="1F2A7152"/>
    <w:rsid w:val="211B3328"/>
    <w:rsid w:val="22924EFA"/>
    <w:rsid w:val="22F349ED"/>
    <w:rsid w:val="23C21F07"/>
    <w:rsid w:val="26AA489A"/>
    <w:rsid w:val="278C5FE3"/>
    <w:rsid w:val="29B519C0"/>
    <w:rsid w:val="2A3D7B6A"/>
    <w:rsid w:val="2B050B92"/>
    <w:rsid w:val="2C79429A"/>
    <w:rsid w:val="2EBD5EDD"/>
    <w:rsid w:val="2F1F4C6C"/>
    <w:rsid w:val="32E97120"/>
    <w:rsid w:val="3649771D"/>
    <w:rsid w:val="3650767A"/>
    <w:rsid w:val="406C6AC4"/>
    <w:rsid w:val="411D17E5"/>
    <w:rsid w:val="41677273"/>
    <w:rsid w:val="432F5986"/>
    <w:rsid w:val="44750F18"/>
    <w:rsid w:val="45040A5B"/>
    <w:rsid w:val="451A0BF1"/>
    <w:rsid w:val="46C64AFE"/>
    <w:rsid w:val="487E17CA"/>
    <w:rsid w:val="4B624FDC"/>
    <w:rsid w:val="4C3A5246"/>
    <w:rsid w:val="4D763941"/>
    <w:rsid w:val="4EAF4F72"/>
    <w:rsid w:val="50DD1AF2"/>
    <w:rsid w:val="59A5465D"/>
    <w:rsid w:val="5FAA1C9C"/>
    <w:rsid w:val="6011283B"/>
    <w:rsid w:val="6103722D"/>
    <w:rsid w:val="61101A35"/>
    <w:rsid w:val="61EF3D49"/>
    <w:rsid w:val="63C2194C"/>
    <w:rsid w:val="6C347366"/>
    <w:rsid w:val="6C9872AE"/>
    <w:rsid w:val="6CA46579"/>
    <w:rsid w:val="6CF122A7"/>
    <w:rsid w:val="6D02194C"/>
    <w:rsid w:val="6F3E4627"/>
    <w:rsid w:val="6F4D2EB5"/>
    <w:rsid w:val="71152954"/>
    <w:rsid w:val="71796C00"/>
    <w:rsid w:val="754C1726"/>
    <w:rsid w:val="78F35234"/>
    <w:rsid w:val="796804DA"/>
    <w:rsid w:val="7B113259"/>
    <w:rsid w:val="7CC64B41"/>
    <w:rsid w:val="7CC852EA"/>
    <w:rsid w:val="7F72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cs="Times New Roman"/>
      <w:kern w:val="0"/>
      <w:sz w:val="18"/>
      <w:szCs w:val="18"/>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正文1 Char Char Char"/>
    <w:qFormat/>
    <w:uiPriority w:val="99"/>
    <w:pPr>
      <w:widowControl w:val="0"/>
      <w:spacing w:line="360" w:lineRule="auto"/>
      <w:ind w:firstLine="200" w:firstLineChars="200"/>
      <w:jc w:val="both"/>
    </w:pPr>
    <w:rPr>
      <w:rFonts w:ascii="Times New Roman" w:hAnsi="Times New Roman" w:eastAsia="宋体" w:cs="Times New Roman"/>
      <w:kern w:val="2"/>
      <w:sz w:val="21"/>
      <w:szCs w:val="21"/>
      <w:lang w:val="en-US" w:eastAsia="zh-CN" w:bidi="ar-SA"/>
    </w:rPr>
  </w:style>
  <w:style w:type="character" w:customStyle="1" w:styleId="9">
    <w:name w:val="font11"/>
    <w:basedOn w:val="5"/>
    <w:qFormat/>
    <w:uiPriority w:val="0"/>
    <w:rPr>
      <w:rFonts w:hint="eastAsia" w:ascii="黑体" w:hAnsi="宋体" w:eastAsia="黑体" w:cs="黑体"/>
      <w:color w:val="000000"/>
      <w:sz w:val="32"/>
      <w:szCs w:val="32"/>
      <w:u w:val="none"/>
    </w:rPr>
  </w:style>
  <w:style w:type="character" w:customStyle="1" w:styleId="10">
    <w:name w:val="font51"/>
    <w:basedOn w:val="5"/>
    <w:qFormat/>
    <w:uiPriority w:val="0"/>
    <w:rPr>
      <w:rFonts w:hint="default" w:ascii="楷体_GB2312" w:eastAsia="楷体_GB2312" w:cs="楷体_GB2312"/>
      <w:color w:val="000000"/>
      <w:sz w:val="18"/>
      <w:szCs w:val="18"/>
      <w:u w:val="none"/>
    </w:rPr>
  </w:style>
  <w:style w:type="character" w:customStyle="1" w:styleId="11">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2022-05-05T08:02:00Z</dcterms:created>
  <dc:creator>Administrator</dc:creator>
  <cp:lastModifiedBy>pc03</cp:lastModifiedBy>
  <cp:lastPrinted>2022-06-10T01:37:00Z</cp:lastPrinted>
  <dcterms:modified xsi:type="dcterms:W3CDTF">2022-08-29T23:13:27Z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3396F40CA568472BACF809E160575622</vt:lpwstr>
  </property>
</Properties>
</file>