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pPr>
        <w:spacing w:line="560" w:lineRule="exact"/>
        <w:jc w:val="center"/>
        <w:rPr>
          <w:rFonts w:ascii="仿宋" w:hAnsi="仿宋" w:eastAsia="仿宋"/>
          <w:szCs w:val="21"/>
        </w:rPr>
      </w:pP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一、部门概况</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（一）部门主要职责职能，组织架构、人员及资产等基本情况。</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1.部门机构设置</w:t>
      </w:r>
      <w:r>
        <w:rPr>
          <w:rFonts w:hint="eastAsia" w:ascii="仿宋_GB2312" w:hAnsi="仿宋" w:eastAsia="仿宋_GB2312"/>
          <w:sz w:val="28"/>
          <w:szCs w:val="28"/>
          <w:u w:val="none"/>
          <w:lang w:val="en-US" w:eastAsia="zh-CN"/>
        </w:rPr>
        <w:t>及职责职能</w:t>
      </w:r>
      <w:r>
        <w:rPr>
          <w:rFonts w:hint="eastAsia" w:ascii="仿宋_GB2312" w:hAnsi="仿宋" w:eastAsia="仿宋_GB2312"/>
          <w:sz w:val="28"/>
          <w:szCs w:val="28"/>
          <w:u w:val="none"/>
        </w:rPr>
        <w:t>情况。</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（1）党政办公室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主要职能:党务、政务、宣传、组织、档案、机关事务管理、统战等</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2</w:t>
      </w:r>
      <w:r>
        <w:rPr>
          <w:rFonts w:hint="eastAsia" w:ascii="仿宋_GB2312" w:hAnsi="仿宋" w:eastAsia="仿宋_GB2312"/>
          <w:sz w:val="28"/>
          <w:szCs w:val="28"/>
          <w:u w:val="none"/>
        </w:rPr>
        <w:t>）社会事务办公室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主要职能:应急管理、民政、红十字会、残联、卫生健康、教育体育、文化、旅游、垦殖场事务等</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3</w:t>
      </w:r>
      <w:r>
        <w:rPr>
          <w:rFonts w:hint="eastAsia" w:ascii="仿宋_GB2312" w:hAnsi="仿宋" w:eastAsia="仿宋_GB2312"/>
          <w:sz w:val="28"/>
          <w:szCs w:val="28"/>
          <w:u w:val="none"/>
        </w:rPr>
        <w:t>）社会治理办公室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主要职能:综治、司法、禁毒、信访、扫黑</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4</w:t>
      </w:r>
      <w:r>
        <w:rPr>
          <w:rFonts w:hint="eastAsia" w:ascii="仿宋_GB2312" w:hAnsi="仿宋" w:eastAsia="仿宋_GB2312"/>
          <w:sz w:val="28"/>
          <w:szCs w:val="28"/>
          <w:u w:val="none"/>
        </w:rPr>
        <w:t>）经济发展和财政办公室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主要职能:财政、会计核算、统计、审计、金融、税务、招商引资、资源交易、工业信息、市场监督管理等</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5</w:t>
      </w:r>
      <w:r>
        <w:rPr>
          <w:rFonts w:hint="eastAsia" w:ascii="仿宋_GB2312" w:hAnsi="仿宋" w:eastAsia="仿宋_GB2312"/>
          <w:sz w:val="28"/>
          <w:szCs w:val="28"/>
          <w:u w:val="none"/>
        </w:rPr>
        <w:t>）农业农村工作办公室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主要职能:农业、水利、林业、生态环境、新农村建设(清洁)、扶贫、移民等</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6</w:t>
      </w:r>
      <w:r>
        <w:rPr>
          <w:rFonts w:hint="eastAsia" w:ascii="仿宋_GB2312" w:hAnsi="仿宋" w:eastAsia="仿宋_GB2312"/>
          <w:sz w:val="28"/>
          <w:szCs w:val="28"/>
          <w:u w:val="none"/>
        </w:rPr>
        <w:t>）综合行政执法队</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主要职能:规划、交通、自然资源、城管,以及市场秩序、食药监管、国土等方面的相关行政强制和监督检查</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7</w:t>
      </w:r>
      <w:r>
        <w:rPr>
          <w:rFonts w:hint="eastAsia" w:ascii="仿宋_GB2312" w:hAnsi="仿宋" w:eastAsia="仿宋_GB2312"/>
          <w:sz w:val="28"/>
          <w:szCs w:val="28"/>
          <w:u w:val="none"/>
        </w:rPr>
        <w:t>）便民服务中心</w:t>
      </w:r>
    </w:p>
    <w:p>
      <w:pPr>
        <w:snapToGrid w:val="0"/>
        <w:spacing w:line="520" w:lineRule="exact"/>
        <w:ind w:firstLine="560" w:firstLineChars="200"/>
        <w:rPr>
          <w:rFonts w:hint="eastAsia" w:ascii="仿宋_GB2312" w:hAnsi="仿宋" w:eastAsia="仿宋_GB2312"/>
          <w:sz w:val="28"/>
          <w:szCs w:val="28"/>
          <w:u w:val="none"/>
          <w:lang w:val="en-US" w:eastAsia="zh-CN"/>
        </w:rPr>
      </w:pPr>
      <w:r>
        <w:rPr>
          <w:rFonts w:hint="eastAsia" w:ascii="仿宋_GB2312" w:hAnsi="仿宋" w:eastAsia="仿宋_GB2312"/>
          <w:sz w:val="28"/>
          <w:szCs w:val="28"/>
          <w:u w:val="none"/>
        </w:rPr>
        <w:t>主要职能:社会保障、医疗保障、退役军人、民政、卫计等便民服务窗口</w:t>
      </w:r>
      <w:r>
        <w:rPr>
          <w:rFonts w:hint="eastAsia" w:ascii="仿宋_GB2312" w:hAnsi="仿宋" w:eastAsia="仿宋_GB2312"/>
          <w:sz w:val="28"/>
          <w:szCs w:val="28"/>
          <w:u w:val="none"/>
          <w:lang w:val="en-US"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2.组织架构、人员：</w:t>
      </w:r>
    </w:p>
    <w:p>
      <w:pPr>
        <w:snapToGrid w:val="0"/>
        <w:spacing w:line="520" w:lineRule="exact"/>
        <w:ind w:firstLine="840" w:firstLineChars="300"/>
        <w:rPr>
          <w:sz w:val="28"/>
          <w:szCs w:val="28"/>
        </w:rPr>
      </w:pPr>
      <w:r>
        <w:rPr>
          <w:rFonts w:hint="eastAsia" w:ascii="仿宋_GB2312" w:hAnsi="仿宋" w:eastAsia="仿宋_GB2312"/>
          <w:sz w:val="28"/>
          <w:szCs w:val="28"/>
          <w:u w:val="none"/>
        </w:rPr>
        <w:t>202</w:t>
      </w:r>
      <w:r>
        <w:rPr>
          <w:rFonts w:hint="eastAsia" w:ascii="仿宋_GB2312" w:hAnsi="仿宋" w:eastAsia="仿宋_GB2312"/>
          <w:sz w:val="28"/>
          <w:szCs w:val="28"/>
          <w:u w:val="none"/>
          <w:lang w:val="en-US" w:eastAsia="zh-CN"/>
        </w:rPr>
        <w:t>2</w:t>
      </w:r>
      <w:r>
        <w:rPr>
          <w:rFonts w:hint="eastAsia" w:ascii="仿宋_GB2312" w:hAnsi="仿宋" w:eastAsia="仿宋_GB2312"/>
          <w:sz w:val="28"/>
          <w:szCs w:val="28"/>
          <w:u w:val="none"/>
        </w:rPr>
        <w:t>年</w:t>
      </w:r>
      <w:r>
        <w:rPr>
          <w:rFonts w:hint="eastAsia" w:ascii="仿宋_GB2312" w:hAnsi="仿宋" w:eastAsia="仿宋_GB2312"/>
          <w:sz w:val="28"/>
          <w:szCs w:val="28"/>
          <w:u w:val="none"/>
          <w:lang w:val="en-US" w:eastAsia="zh-CN"/>
        </w:rPr>
        <w:t>黄坛乡</w:t>
      </w:r>
      <w:r>
        <w:rPr>
          <w:rFonts w:hint="eastAsia" w:ascii="仿宋_GB2312" w:hAnsi="仿宋" w:eastAsia="仿宋_GB2312"/>
          <w:sz w:val="28"/>
          <w:szCs w:val="28"/>
          <w:u w:val="none"/>
        </w:rPr>
        <w:t>人民政府共有预算单位1个。编制人数</w:t>
      </w:r>
      <w:r>
        <w:rPr>
          <w:rFonts w:hint="eastAsia" w:ascii="仿宋_GB2312" w:hAnsi="仿宋" w:eastAsia="仿宋_GB2312"/>
          <w:sz w:val="28"/>
          <w:szCs w:val="28"/>
          <w:u w:val="none"/>
          <w:lang w:val="en-US" w:eastAsia="zh-CN"/>
        </w:rPr>
        <w:t>47</w:t>
      </w:r>
      <w:r>
        <w:rPr>
          <w:rFonts w:hint="eastAsia" w:ascii="仿宋_GB2312" w:hAnsi="仿宋" w:eastAsia="仿宋_GB2312"/>
          <w:sz w:val="28"/>
          <w:szCs w:val="28"/>
          <w:u w:val="none"/>
        </w:rPr>
        <w:t>人，其中：行政编制</w:t>
      </w:r>
      <w:r>
        <w:rPr>
          <w:rFonts w:hint="eastAsia" w:ascii="仿宋_GB2312" w:hAnsi="仿宋" w:eastAsia="仿宋_GB2312"/>
          <w:sz w:val="28"/>
          <w:szCs w:val="28"/>
          <w:u w:val="none"/>
          <w:lang w:val="en-US" w:eastAsia="zh-CN"/>
        </w:rPr>
        <w:t>23</w:t>
      </w:r>
      <w:r>
        <w:rPr>
          <w:rFonts w:hint="eastAsia" w:ascii="仿宋_GB2312" w:hAnsi="仿宋" w:eastAsia="仿宋_GB2312"/>
          <w:sz w:val="28"/>
          <w:szCs w:val="28"/>
          <w:u w:val="none"/>
        </w:rPr>
        <w:t>人，事业编制</w:t>
      </w:r>
      <w:r>
        <w:rPr>
          <w:rFonts w:hint="eastAsia" w:ascii="仿宋_GB2312" w:hAnsi="仿宋" w:eastAsia="仿宋_GB2312"/>
          <w:sz w:val="28"/>
          <w:szCs w:val="28"/>
          <w:u w:val="none"/>
          <w:lang w:val="en-US" w:eastAsia="zh-CN"/>
        </w:rPr>
        <w:t>24</w:t>
      </w:r>
      <w:r>
        <w:rPr>
          <w:rFonts w:hint="eastAsia" w:ascii="仿宋_GB2312" w:hAnsi="仿宋" w:eastAsia="仿宋_GB2312"/>
          <w:sz w:val="28"/>
          <w:szCs w:val="28"/>
          <w:u w:val="none"/>
        </w:rPr>
        <w:t>人；在职在编实有行政人员</w:t>
      </w:r>
      <w:r>
        <w:rPr>
          <w:rFonts w:hint="eastAsia" w:ascii="仿宋_GB2312" w:hAnsi="仿宋" w:eastAsia="仿宋_GB2312"/>
          <w:sz w:val="28"/>
          <w:szCs w:val="28"/>
          <w:u w:val="none"/>
          <w:lang w:val="en-US" w:eastAsia="zh-CN"/>
        </w:rPr>
        <w:t>23</w:t>
      </w:r>
      <w:r>
        <w:rPr>
          <w:rFonts w:hint="eastAsia" w:ascii="仿宋_GB2312" w:hAnsi="仿宋" w:eastAsia="仿宋_GB2312"/>
          <w:sz w:val="28"/>
          <w:szCs w:val="28"/>
          <w:u w:val="none"/>
        </w:rPr>
        <w:t>人，事业人员</w:t>
      </w:r>
      <w:r>
        <w:rPr>
          <w:rFonts w:hint="eastAsia" w:ascii="仿宋_GB2312" w:hAnsi="仿宋" w:eastAsia="仿宋_GB2312"/>
          <w:sz w:val="28"/>
          <w:szCs w:val="28"/>
          <w:u w:val="none"/>
          <w:lang w:val="en-US" w:eastAsia="zh-CN"/>
        </w:rPr>
        <w:t>24</w:t>
      </w:r>
      <w:r>
        <w:rPr>
          <w:rFonts w:hint="eastAsia" w:ascii="仿宋_GB2312" w:hAnsi="仿宋" w:eastAsia="仿宋_GB2312"/>
          <w:sz w:val="28"/>
          <w:szCs w:val="28"/>
          <w:u w:val="none"/>
        </w:rPr>
        <w:t>人。</w:t>
      </w:r>
    </w:p>
    <w:p>
      <w:pPr>
        <w:numPr>
          <w:ilvl w:val="0"/>
          <w:numId w:val="1"/>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当年部门履职总体目标、工作任务。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23" w:lineRule="atLeast"/>
        <w:ind w:leftChars="200" w:right="0" w:rightChars="0" w:firstLine="560" w:firstLineChars="200"/>
        <w:textAlignment w:val="auto"/>
        <w:rPr>
          <w:rFonts w:hint="eastAsia" w:ascii="仿宋_GB2312" w:hAnsi="仿宋" w:eastAsia="仿宋_GB2312" w:cs="Times New Roman"/>
          <w:kern w:val="2"/>
          <w:sz w:val="28"/>
          <w:szCs w:val="28"/>
          <w:u w:val="none"/>
          <w:lang w:val="en-US" w:eastAsia="zh-CN" w:bidi="ar-SA"/>
        </w:rPr>
      </w:pPr>
      <w:r>
        <w:rPr>
          <w:rFonts w:hint="eastAsia" w:ascii="仿宋_GB2312" w:hAnsi="仿宋" w:eastAsia="仿宋_GB2312" w:cs="Times New Roman"/>
          <w:kern w:val="2"/>
          <w:sz w:val="28"/>
          <w:szCs w:val="28"/>
          <w:u w:val="none"/>
          <w:lang w:val="en-US" w:eastAsia="zh-CN" w:bidi="ar-SA"/>
        </w:rPr>
        <w:t>1.坚持改善民生，助力乡村振兴。一是加强基础性、普惠性、兜底性民生保障建设，进一步落实好低保、五保等救助政策 保障符合条件的困难群众的基本生活和需求；二是巩固脱贫攻坚成果，同乡村振兴有效衔接，整合各类项目和资金，强化产业带动引领乡村经济建设发展，探索乡村振兴发展新模式。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23" w:lineRule="atLeast"/>
        <w:ind w:leftChars="200" w:right="0" w:rightChars="0" w:firstLine="560" w:firstLineChars="200"/>
        <w:textAlignment w:val="auto"/>
        <w:rPr>
          <w:rFonts w:hint="eastAsia" w:ascii="仿宋_GB2312" w:hAnsi="仿宋" w:eastAsia="仿宋_GB2312" w:cs="Times New Roman"/>
          <w:kern w:val="2"/>
          <w:sz w:val="28"/>
          <w:szCs w:val="28"/>
          <w:u w:val="none"/>
          <w:lang w:val="en-US" w:eastAsia="zh-CN" w:bidi="ar-SA"/>
        </w:rPr>
      </w:pPr>
      <w:r>
        <w:rPr>
          <w:rFonts w:hint="eastAsia" w:ascii="仿宋_GB2312" w:hAnsi="仿宋" w:eastAsia="仿宋_GB2312" w:cs="Times New Roman"/>
          <w:kern w:val="2"/>
          <w:sz w:val="28"/>
          <w:szCs w:val="28"/>
          <w:u w:val="none"/>
          <w:lang w:val="en-US" w:eastAsia="zh-CN" w:bidi="ar-SA"/>
        </w:rPr>
        <w:t>2.发展特色优势产业，助推乡村产业振兴。加大对本地毛竹、油菜、果业种植 、茶叶等产业的扶持力度，加强古村落的保护，大力发展乡村特色休闲旅游业，壮大集体经济，带动群众就业增收。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23" w:lineRule="atLeast"/>
        <w:ind w:leftChars="200" w:right="0" w:rightChars="0" w:firstLine="560" w:firstLineChars="200"/>
        <w:textAlignment w:val="auto"/>
        <w:rPr>
          <w:rFonts w:hint="eastAsia" w:ascii="仿宋_GB2312" w:hAnsi="仿宋" w:eastAsia="仿宋_GB2312" w:cs="Times New Roman"/>
          <w:kern w:val="2"/>
          <w:sz w:val="28"/>
          <w:szCs w:val="28"/>
          <w:u w:val="none"/>
          <w:lang w:val="en-US" w:eastAsia="zh-CN" w:bidi="ar-SA"/>
        </w:rPr>
      </w:pPr>
      <w:r>
        <w:rPr>
          <w:rFonts w:hint="eastAsia" w:ascii="仿宋_GB2312" w:hAnsi="仿宋" w:eastAsia="仿宋_GB2312" w:cs="Times New Roman"/>
          <w:kern w:val="2"/>
          <w:sz w:val="28"/>
          <w:szCs w:val="28"/>
          <w:u w:val="none"/>
          <w:lang w:val="en-US" w:eastAsia="zh-CN" w:bidi="ar-SA"/>
        </w:rPr>
        <w:t>3.加强环境综合整治，乡村面貌焕然一新。开展农村环境整治六大专项提升行动，稳步实施新农村建设，有序开展厕所革命，推行城乡供水一体化，实施“绿化、美化、亮化、硬化”等综合整治工程，切实扮靓乡容乡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23" w:lineRule="atLeast"/>
        <w:ind w:left="240" w:leftChars="0" w:right="0" w:rightChars="0" w:firstLine="560" w:firstLineChars="200"/>
        <w:textAlignment w:val="auto"/>
        <w:rPr>
          <w:rFonts w:hint="default" w:ascii="仿宋_GB2312" w:hAnsi="仿宋" w:eastAsia="仿宋_GB2312" w:cs="Times New Roman"/>
          <w:kern w:val="2"/>
          <w:sz w:val="28"/>
          <w:szCs w:val="28"/>
          <w:u w:val="none"/>
          <w:lang w:val="en-US" w:eastAsia="zh-CN" w:bidi="ar-SA"/>
        </w:rPr>
      </w:pPr>
      <w:r>
        <w:rPr>
          <w:rFonts w:hint="eastAsia" w:ascii="仿宋_GB2312" w:hAnsi="仿宋" w:eastAsia="仿宋_GB2312" w:cs="Times New Roman"/>
          <w:kern w:val="2"/>
          <w:sz w:val="28"/>
          <w:szCs w:val="28"/>
          <w:u w:val="none"/>
          <w:lang w:val="en-US" w:eastAsia="zh-CN" w:bidi="ar-SA"/>
        </w:rPr>
        <w:t>　4.强化政府服务职能，提高政务服务水平。坚持以人民为中心的工作总基调，坚持从群众中来到群众中去的工作作风，切实维护好群众利益，增强政府服务能力。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23" w:lineRule="atLeast"/>
        <w:ind w:left="0" w:right="0" w:firstLine="560" w:firstLineChars="200"/>
        <w:textAlignment w:val="auto"/>
        <w:rPr>
          <w:sz w:val="28"/>
          <w:szCs w:val="28"/>
        </w:rPr>
      </w:pPr>
      <w:r>
        <w:rPr>
          <w:rFonts w:hint="eastAsia" w:ascii="仿宋_GB2312" w:hAnsi="仿宋" w:eastAsia="仿宋_GB2312" w:cs="Times New Roman"/>
          <w:kern w:val="2"/>
          <w:sz w:val="28"/>
          <w:szCs w:val="28"/>
          <w:u w:val="none"/>
          <w:lang w:val="en-US" w:eastAsia="zh-CN" w:bidi="ar-SA"/>
        </w:rPr>
        <w:t>　　5.坚决完成县级下达的各项任务，全面保障乡村高效运转。</w:t>
      </w:r>
    </w:p>
    <w:p>
      <w:pPr>
        <w:numPr>
          <w:ilvl w:val="0"/>
          <w:numId w:val="1"/>
        </w:numPr>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当年部门年度整体支出绩效目标。</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default" w:ascii="仿宋" w:hAnsi="仿宋" w:eastAsia="仿宋" w:cs="仿宋"/>
          <w:sz w:val="28"/>
          <w:szCs w:val="28"/>
          <w:lang w:val="en-US" w:eastAsia="zh-CN"/>
        </w:rPr>
      </w:pPr>
      <w:r>
        <w:rPr>
          <w:rFonts w:hint="eastAsia" w:ascii="仿宋_GB2312" w:hAnsi="仿宋_GB2312" w:eastAsia="仿宋_GB2312" w:cs="仿宋_GB2312"/>
          <w:kern w:val="2"/>
          <w:sz w:val="28"/>
          <w:szCs w:val="28"/>
          <w:lang w:val="en-US" w:eastAsia="zh-CN" w:bidi="ar-SA"/>
        </w:rPr>
        <w:t>提升政府服务水平，有效保障乡村正常运转，提高人民生活水平。</w:t>
      </w:r>
    </w:p>
    <w:p>
      <w:pPr>
        <w:numPr>
          <w:ilvl w:val="0"/>
          <w:numId w:val="1"/>
        </w:numPr>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部门预算绩效管理开展情况。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1.绩效自评的目的</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为深入贯彻落实《中共浮梁县委 浮梁县人民政府关于全面实施预算绩效管理的实施意见》，强化预算绩效主体责任和绩效意识，进一步明确厘清职责范围，客观、公正评判部门整体支出，提高资金管理水平和部门整体工作质量。</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2.绩效自评对象与范围</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2022年1月1日至2022年12月31日黄坛乡人民政府的部门整体支出资金的使用与管理状况。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3.绩效自评原则与评价方法</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（1）绩效自评原则</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本次绩效自评遵循以下基本原则：科学公正、统筹兼顾、激励约束、公开透明。</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（2）评价方法</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自评采用定量与定性评价相结合的比较法，总分由各项指标得分根据资金权重汇总形成。</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4.评价标准</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本次绩效自评采用计划标准、行业标准、历史标准和财政部门和预算部门确认或认可的其他标准。</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5.评价依据</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（1）《中共浮梁县委 浮梁县人民政府关于全面实施预算绩效管理的实施意见》（浮发〔2020〕4号）。</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（2）《关于开展县直部门和乡镇单位自评及绩效监控工作的通知》（浮财绩字〔2023〕1号）。</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6.组织实施</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（1）成立绩效自评小组，制定实施方案，本着科学、严谨的态度组织实施2022年度部门整体支出的绩效自评工作。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（2）绩效自评小组按照要求详细查阅并收集了单位的预决算资料和相关财务资料。</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基础数据收集完成以后，绩效自评小组对所收集的资料进行了审查核实。对单位的各项管理指标、产出指标、效果指标、满意度指标与业务主管人员反复交流沟通核实，严格按照文件要求对单位2022年度部门整体支出情况开展绩效自评。</w:t>
      </w:r>
    </w:p>
    <w:p>
      <w:pPr>
        <w:pStyle w:val="2"/>
        <w:numPr>
          <w:ilvl w:val="0"/>
          <w:numId w:val="0"/>
        </w:numPr>
        <w:ind w:leftChars="200"/>
        <w:rPr>
          <w:sz w:val="28"/>
          <w:szCs w:val="28"/>
        </w:rPr>
      </w:pPr>
    </w:p>
    <w:p>
      <w:pPr>
        <w:numPr>
          <w:ilvl w:val="0"/>
          <w:numId w:val="1"/>
        </w:numPr>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当年部门预算及执行情况。</w:t>
      </w:r>
    </w:p>
    <w:p>
      <w:pPr>
        <w:pStyle w:val="2"/>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资金收入来源于财政拨款，全年预算数为</w:t>
      </w:r>
      <w:r>
        <w:rPr>
          <w:rFonts w:hint="eastAsia" w:ascii="仿宋_GB2312" w:hAnsi="仿宋_GB2312" w:eastAsia="仿宋_GB2312" w:cs="仿宋_GB2312"/>
          <w:sz w:val="28"/>
          <w:szCs w:val="28"/>
          <w:lang w:val="en-US" w:eastAsia="zh-CN"/>
        </w:rPr>
        <w:t>1094</w:t>
      </w:r>
      <w:r>
        <w:rPr>
          <w:rFonts w:hint="eastAsia" w:ascii="仿宋_GB2312" w:hAnsi="仿宋_GB2312" w:eastAsia="仿宋_GB2312" w:cs="仿宋_GB2312"/>
          <w:sz w:val="28"/>
          <w:szCs w:val="28"/>
        </w:rPr>
        <w:t>万元，全年执行数为</w:t>
      </w:r>
      <w:r>
        <w:rPr>
          <w:rFonts w:hint="eastAsia" w:ascii="仿宋_GB2312" w:hAnsi="仿宋_GB2312" w:eastAsia="仿宋_GB2312" w:cs="仿宋_GB2312"/>
          <w:sz w:val="28"/>
          <w:szCs w:val="28"/>
          <w:lang w:val="en-US" w:eastAsia="zh-CN"/>
        </w:rPr>
        <w:t>1094</w:t>
      </w:r>
      <w:r>
        <w:rPr>
          <w:rFonts w:hint="eastAsia" w:ascii="仿宋_GB2312" w:hAnsi="仿宋_GB2312" w:eastAsia="仿宋_GB2312" w:cs="仿宋_GB2312"/>
          <w:sz w:val="28"/>
          <w:szCs w:val="28"/>
        </w:rPr>
        <w:t>万元，执行率</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pPr>
        <w:pStyle w:val="2"/>
        <w:rPr>
          <w:rFonts w:hint="eastAsia" w:ascii="仿宋_GB2312" w:hAnsi="仿宋_GB2312" w:eastAsia="仿宋_GB2312" w:cs="仿宋_GB2312"/>
          <w:sz w:val="28"/>
          <w:szCs w:val="28"/>
          <w:lang w:val="en-US" w:eastAsia="zh-CN"/>
        </w:rPr>
      </w:pP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二、部门整体支出绩效实现情况</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（一）履职完成情况：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1.数量方面，2022年公务接待、培训、会议、公务用车、保障村级运转等都达到预期目标。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2.质量方面，项目验收合格率达到100%预期目标。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3.时效方面，资金发放及时率达到98%预期目标。</w:t>
      </w:r>
    </w:p>
    <w:p>
      <w:pPr>
        <w:pStyle w:val="2"/>
        <w:rPr>
          <w:sz w:val="28"/>
          <w:szCs w:val="28"/>
        </w:rPr>
      </w:pPr>
    </w:p>
    <w:p>
      <w:pPr>
        <w:numPr>
          <w:ilvl w:val="0"/>
          <w:numId w:val="2"/>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履职效果情况：</w:t>
      </w:r>
    </w:p>
    <w:p>
      <w:pPr>
        <w:numPr>
          <w:ilvl w:val="0"/>
          <w:numId w:val="0"/>
        </w:num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社会效益方面，有效保障了黄坛乡整体正常运转，乡村治理稳定有效。</w:t>
      </w:r>
    </w:p>
    <w:p>
      <w:pPr>
        <w:numPr>
          <w:ilvl w:val="0"/>
          <w:numId w:val="2"/>
        </w:numPr>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社会满意度</w:t>
      </w:r>
      <w:r>
        <w:rPr>
          <w:rFonts w:hint="eastAsia" w:ascii="仿宋_GB2312" w:hAnsi="仿宋_GB2312" w:eastAsia="仿宋_GB2312" w:cs="仿宋_GB2312"/>
          <w:sz w:val="28"/>
          <w:szCs w:val="28"/>
          <w:lang w:val="en-US" w:eastAsia="zh-CN"/>
        </w:rPr>
        <w:t>:达到94%。</w:t>
      </w:r>
    </w:p>
    <w:p>
      <w:pPr>
        <w:spacing w:line="560" w:lineRule="exact"/>
        <w:ind w:firstLine="560" w:firstLineChars="200"/>
        <w:rPr>
          <w:rFonts w:hint="eastAsia" w:ascii="黑体" w:hAnsi="黑体" w:eastAsia="黑体" w:cs="黑体"/>
          <w:sz w:val="28"/>
          <w:szCs w:val="28"/>
        </w:rPr>
      </w:pP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三、部门整体支出绩效中存在问题及改进措施</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（一）主要问题及原因分析。</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1.财务人员绩效工作管理能力有待提高，专业知识不足，缺乏系统的培训。</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2.绩效管理制度还有待健全完善。</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（二）改进的方向和具体措施。</w:t>
      </w:r>
    </w:p>
    <w:p>
      <w:pPr>
        <w:pStyle w:val="2"/>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1.加强预算绩效管理培训工作，提高财务人员业务能力水平，建立健全人才培养体系。</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2.提高认识，建立健全绩效管理工作机制。</w:t>
      </w:r>
    </w:p>
    <w:p>
      <w:pPr>
        <w:pStyle w:val="2"/>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3.提高部门对绩效工作的支持力度。</w:t>
      </w:r>
    </w:p>
    <w:p>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四、绩效自评结果拟应用和公开情况</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1.通过绩效自评结果，进一步健全政府预算绩效管理工作制度，提高财政资金支出决策水平和管理水平。</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2.本绩效报告拟公开于政府信息公开网，供民众查阅监督。</w:t>
      </w:r>
    </w:p>
    <w:p>
      <w:pPr>
        <w:numPr>
          <w:ilvl w:val="0"/>
          <w:numId w:val="0"/>
        </w:numPr>
        <w:rPr>
          <w:rFonts w:hint="eastAsia" w:ascii="黑体" w:hAnsi="黑体" w:eastAsia="黑体" w:cs="黑体"/>
          <w:sz w:val="28"/>
          <w:szCs w:val="28"/>
        </w:rPr>
      </w:pPr>
    </w:p>
    <w:p>
      <w:pPr>
        <w:numPr>
          <w:ilvl w:val="0"/>
          <w:numId w:val="0"/>
        </w:numPr>
        <w:rPr>
          <w:rFonts w:hint="eastAsia" w:ascii="黑体" w:hAnsi="黑体" w:eastAsia="黑体" w:cs="黑体"/>
          <w:sz w:val="28"/>
          <w:szCs w:val="28"/>
        </w:rPr>
      </w:pPr>
    </w:p>
    <w:p>
      <w:pPr>
        <w:pStyle w:val="2"/>
        <w:ind w:left="0" w:leftChars="0" w:firstLine="560" w:firstLineChars="200"/>
        <w:jc w:val="right"/>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浮梁县黄坛乡人民政府</w:t>
      </w:r>
    </w:p>
    <w:p>
      <w:pPr>
        <w:pStyle w:val="2"/>
        <w:ind w:left="0" w:leftChars="0" w:firstLine="560" w:firstLineChars="200"/>
        <w:jc w:val="center"/>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 xml:space="preserve">                                    2022年12月31日</w:t>
      </w:r>
    </w:p>
    <w:p>
      <w:pPr>
        <w:pStyle w:val="2"/>
        <w:rPr>
          <w:rFonts w:hint="eastAsia" w:ascii="黑体" w:hAnsi="黑体" w:eastAsia="黑体" w:cs="黑体"/>
          <w:sz w:val="32"/>
          <w:szCs w:val="32"/>
        </w:rPr>
      </w:pPr>
    </w:p>
    <w:p>
      <w:pPr>
        <w:pStyle w:val="2"/>
        <w:rPr>
          <w:rFonts w:hint="eastAsia" w:ascii="黑体" w:hAnsi="黑体" w:eastAsia="黑体" w:cs="黑体"/>
          <w:sz w:val="32"/>
          <w:szCs w:val="32"/>
        </w:rPr>
      </w:pPr>
      <w:bookmarkStart w:id="0" w:name="_GoBack"/>
      <w:bookmarkEnd w:id="0"/>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16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1FE2A"/>
    <w:multiLevelType w:val="singleLevel"/>
    <w:tmpl w:val="BC91FE2A"/>
    <w:lvl w:ilvl="0" w:tentative="0">
      <w:start w:val="2"/>
      <w:numFmt w:val="chineseCounting"/>
      <w:suff w:val="nothing"/>
      <w:lvlText w:val="（%1）"/>
      <w:lvlJc w:val="left"/>
      <w:rPr>
        <w:rFonts w:hint="eastAsia"/>
      </w:rPr>
    </w:lvl>
  </w:abstractNum>
  <w:abstractNum w:abstractNumId="1">
    <w:nsid w:val="533473E8"/>
    <w:multiLevelType w:val="singleLevel"/>
    <w:tmpl w:val="533473E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000000"/>
    <w:rsid w:val="015276DF"/>
    <w:rsid w:val="017D31AE"/>
    <w:rsid w:val="0310419A"/>
    <w:rsid w:val="03F60FF6"/>
    <w:rsid w:val="043956B9"/>
    <w:rsid w:val="079029C9"/>
    <w:rsid w:val="0D242770"/>
    <w:rsid w:val="0E19116B"/>
    <w:rsid w:val="0FCE1048"/>
    <w:rsid w:val="13225964"/>
    <w:rsid w:val="13F276E5"/>
    <w:rsid w:val="17222C66"/>
    <w:rsid w:val="1A701E6E"/>
    <w:rsid w:val="1AD17B23"/>
    <w:rsid w:val="1BD506C6"/>
    <w:rsid w:val="1C404B96"/>
    <w:rsid w:val="1CDA72AF"/>
    <w:rsid w:val="1F032342"/>
    <w:rsid w:val="1F7800BE"/>
    <w:rsid w:val="20176124"/>
    <w:rsid w:val="205B27F9"/>
    <w:rsid w:val="22AF7DF3"/>
    <w:rsid w:val="22B23569"/>
    <w:rsid w:val="23576DD3"/>
    <w:rsid w:val="255B6AB3"/>
    <w:rsid w:val="2573741E"/>
    <w:rsid w:val="26270419"/>
    <w:rsid w:val="270075A9"/>
    <w:rsid w:val="291C4B47"/>
    <w:rsid w:val="2A567C3C"/>
    <w:rsid w:val="2DFD2DFD"/>
    <w:rsid w:val="2F416D1A"/>
    <w:rsid w:val="2F725125"/>
    <w:rsid w:val="2F7C651B"/>
    <w:rsid w:val="31AC16C4"/>
    <w:rsid w:val="32787B12"/>
    <w:rsid w:val="34E97200"/>
    <w:rsid w:val="34FF745B"/>
    <w:rsid w:val="37AD5570"/>
    <w:rsid w:val="37FF12EA"/>
    <w:rsid w:val="38AD4481"/>
    <w:rsid w:val="39480A12"/>
    <w:rsid w:val="3A242BE8"/>
    <w:rsid w:val="3BBC1BB7"/>
    <w:rsid w:val="3D4855F3"/>
    <w:rsid w:val="40093884"/>
    <w:rsid w:val="401977DF"/>
    <w:rsid w:val="41722AC6"/>
    <w:rsid w:val="43421586"/>
    <w:rsid w:val="44BD1518"/>
    <w:rsid w:val="45982A11"/>
    <w:rsid w:val="45B1621E"/>
    <w:rsid w:val="46036521"/>
    <w:rsid w:val="462F4F0C"/>
    <w:rsid w:val="46660722"/>
    <w:rsid w:val="474D3480"/>
    <w:rsid w:val="48DE7805"/>
    <w:rsid w:val="4B6D2F19"/>
    <w:rsid w:val="4D8200E5"/>
    <w:rsid w:val="4D970015"/>
    <w:rsid w:val="4D990842"/>
    <w:rsid w:val="4EB976A6"/>
    <w:rsid w:val="50416722"/>
    <w:rsid w:val="50447FC0"/>
    <w:rsid w:val="516960AD"/>
    <w:rsid w:val="522868A3"/>
    <w:rsid w:val="52645F10"/>
    <w:rsid w:val="52F72A1E"/>
    <w:rsid w:val="531427A3"/>
    <w:rsid w:val="54FA32D8"/>
    <w:rsid w:val="55EE1237"/>
    <w:rsid w:val="5654747A"/>
    <w:rsid w:val="567479AC"/>
    <w:rsid w:val="57BA6FEA"/>
    <w:rsid w:val="5A1F56FD"/>
    <w:rsid w:val="5CF97D65"/>
    <w:rsid w:val="5E2D4A30"/>
    <w:rsid w:val="5E47002A"/>
    <w:rsid w:val="60C13530"/>
    <w:rsid w:val="60D86047"/>
    <w:rsid w:val="61607647"/>
    <w:rsid w:val="626B0651"/>
    <w:rsid w:val="643B229B"/>
    <w:rsid w:val="64AA0DE0"/>
    <w:rsid w:val="65EA7D08"/>
    <w:rsid w:val="6671719E"/>
    <w:rsid w:val="67ED2450"/>
    <w:rsid w:val="697A0E2D"/>
    <w:rsid w:val="699D31E0"/>
    <w:rsid w:val="6B346182"/>
    <w:rsid w:val="6BE7629B"/>
    <w:rsid w:val="6C9C6D62"/>
    <w:rsid w:val="6D3451EC"/>
    <w:rsid w:val="6DE149B0"/>
    <w:rsid w:val="6F147B88"/>
    <w:rsid w:val="70133EE6"/>
    <w:rsid w:val="703F33E8"/>
    <w:rsid w:val="71633A8A"/>
    <w:rsid w:val="71E72C94"/>
    <w:rsid w:val="733F5A10"/>
    <w:rsid w:val="738C30F5"/>
    <w:rsid w:val="747E6E18"/>
    <w:rsid w:val="75792D9E"/>
    <w:rsid w:val="77707E71"/>
    <w:rsid w:val="77AE7B47"/>
    <w:rsid w:val="77D01FB6"/>
    <w:rsid w:val="79A44EE5"/>
    <w:rsid w:val="7A7C01D3"/>
    <w:rsid w:val="7B6428F3"/>
    <w:rsid w:val="7B811411"/>
    <w:rsid w:val="7C9F5BC3"/>
    <w:rsid w:val="7D97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unhideWhenUsed/>
    <w:qFormat/>
    <w:uiPriority w:val="0"/>
    <w:pPr>
      <w:ind w:left="420" w:leftChars="200" w:firstLine="210"/>
    </w:pPr>
    <w:rPr>
      <w:rFonts w:hint="default" w:cs="Calibri"/>
      <w:sz w:val="21"/>
      <w:szCs w:val="21"/>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1 Char Char Char"/>
    <w:qFormat/>
    <w:uiPriority w:val="99"/>
    <w:pPr>
      <w:widowControl w:val="0"/>
      <w:spacing w:line="360" w:lineRule="auto"/>
      <w:ind w:firstLine="20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5641</Words>
  <Characters>5998</Characters>
  <Lines>0</Lines>
  <Paragraphs>0</Paragraphs>
  <TotalTime>19</TotalTime>
  <ScaleCrop>false</ScaleCrop>
  <LinksUpToDate>false</LinksUpToDate>
  <CharactersWithSpaces>6455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2022-05-05T08:02:00Z</dcterms:created>
  <dc:creator>Administrator</dc:creator>
  <cp:lastModifiedBy>黄坛乡财政</cp:lastModifiedBy>
  <cp:lastPrinted>2022-06-15T03:07:00Z</cp:lastPrinted>
  <dcterms:modified xsi:type="dcterms:W3CDTF">2023-03-24T01:41:03Z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3993394D298C412F8F433B6221EA075F</vt:lpwstr>
  </property>
</Properties>
</file>