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18"/>
        <w:jc w:val="center"/>
        <w:outlineLvl w:val="0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500" w:lineRule="exact"/>
        <w:ind w:firstLine="618"/>
        <w:jc w:val="center"/>
        <w:outlineLvl w:val="0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蛟潭镇20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年财政预算执行情况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与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年财政预算草案的报告</w:t>
      </w:r>
    </w:p>
    <w:p>
      <w:pPr>
        <w:pStyle w:val="5"/>
        <w:rPr>
          <w:rFonts w:hint="eastAsia"/>
          <w:lang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鲍根平</w:t>
      </w:r>
    </w:p>
    <w:p>
      <w:pPr>
        <w:pStyle w:val="5"/>
        <w:rPr>
          <w:rFonts w:hint="eastAsia"/>
        </w:rPr>
      </w:pPr>
    </w:p>
    <w:p>
      <w:pPr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各位代表：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我受镇人民政府委托，向大会报告2020年财政预算执行情况与2021年财政预算草案，请予审议；2021年预算草案，请予审查批准，并请列席会议的同志提出意见。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一、2020年财政预算执行情况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是极不平凡的一年。在镇党委的坚强领导下，在镇人大的依法监督支持下，全镇以习近平新时代中国特色社会主义思想为指导，以高质量发展为导向，以稳中求进为总基调，积极应对新冠肺炎疫情影响，全面落实减税降费政策，狠抓增收节支、开源节流，促进财政收入稳定增长，重点保障民生需求，全镇财政运行总体平稳，财政运行情况良好。执行情况如下：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1.一般公共预算执行情况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2020年全镇财政总收入完成</w:t>
      </w:r>
      <w:r>
        <w:rPr>
          <w:rFonts w:hint="eastAsia" w:ascii="宋体" w:hAnsi="宋体"/>
          <w:sz w:val="28"/>
          <w:szCs w:val="28"/>
        </w:rPr>
        <w:t>5928.12万元，增长90.43%</w:t>
      </w:r>
      <w:r>
        <w:rPr>
          <w:rFonts w:hint="eastAsia" w:ascii="仿宋_GB2312" w:hAnsi="仿宋_GB2312" w:eastAsia="仿宋_GB2312" w:cs="仿宋_GB2312"/>
          <w:sz w:val="30"/>
          <w:szCs w:val="30"/>
        </w:rPr>
        <w:t>。一般公共预算收入完成</w:t>
      </w:r>
      <w:r>
        <w:rPr>
          <w:rFonts w:hint="eastAsia" w:ascii="宋体" w:hAnsi="宋体" w:cs="Tahoma"/>
          <w:sz w:val="28"/>
          <w:szCs w:val="28"/>
        </w:rPr>
        <w:t>2711.7万元</w:t>
      </w:r>
      <w:r>
        <w:rPr>
          <w:rFonts w:ascii="宋体" w:hAnsi="宋体" w:cs="Tahoma"/>
          <w:sz w:val="28"/>
          <w:szCs w:val="28"/>
        </w:rPr>
        <w:t>，增长</w:t>
      </w:r>
      <w:r>
        <w:rPr>
          <w:rFonts w:hint="eastAsia" w:ascii="宋体" w:hAnsi="宋体" w:cs="Tahoma"/>
          <w:sz w:val="28"/>
          <w:szCs w:val="28"/>
        </w:rPr>
        <w:t>80.7</w:t>
      </w:r>
      <w:r>
        <w:rPr>
          <w:rFonts w:ascii="宋体" w:hAnsi="宋体" w:cs="Tahoma"/>
          <w:sz w:val="28"/>
          <w:szCs w:val="28"/>
        </w:rPr>
        <w:t>％</w:t>
      </w:r>
      <w:r>
        <w:rPr>
          <w:rFonts w:hint="eastAsia" w:ascii="仿宋_GB2312" w:hAnsi="仿宋_GB2312" w:eastAsia="仿宋_GB2312" w:cs="仿宋_GB2312"/>
          <w:sz w:val="30"/>
          <w:szCs w:val="30"/>
        </w:rPr>
        <w:t>。一般公共预算支出8030.66万元（主要项目完成情况为：一般公共服务支出582.74万元；文化体育与传媒支出28.9万元；社会保障和就业支出820.9万元；卫生健康支出113.46万元；节能环保支出548万元；城乡社区支出2804.69万；农林水支出2440.33万元；住房保障支出42.76万；灾害防治及应急管理支出583.68万元；其他支出35.2万元。），比上年增长75.82%，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2020年全镇一般公共预算收入加上级补助收入、上年结余等，总收入合计为8182.57万元;一般公共预算支出加上解支出、结转下年支出等，总支出合计为8182.57万元，全年预算平衡。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2.政府性基金预算执行情况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2020年全镇政府性基金收入1503.76万元（上级补助收入），比上年上升129.78%；全镇政府性基金支出1503.76万元，比上年上升129.78%；全年预算平衡。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财政工作成绩的取得，是党委、政府正确领导的结果，是全镇人民的共同努力的结果，在肯定成绩的同时，我们也清醒地看到那些长期困绕我镇财政工作的困难和问题，与建设美丽和谐文明宜居新蛟潭的要求还有一定差距：一是我镇缺少支柱型财源，财政收入总量偏小，税收质量不高，民生支出、机构运转、人员经费等刚性支出压力大；二是财政规范化、精细化管理有待进一步提高;三是</w:t>
      </w:r>
      <w:r>
        <w:rPr>
          <w:rFonts w:hint="eastAsia" w:ascii="仿宋_GB2312" w:hAnsi="仿宋_GB2312" w:eastAsia="仿宋_GB2312" w:cs="仿宋_GB2312"/>
          <w:sz w:val="30"/>
          <w:szCs w:val="30"/>
        </w:rPr>
        <w:t>惠民生，促发展等领域支出强度逐年增大的同时，预算刚性约束还不够，资金使用绩效仍需进一步提升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。对于这些问题，我们将高度重视，通过不断深化改革、加快发展、严肃法纪和规范管理等综合措施，认真加以解决。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二、2021年财政预算草案</w:t>
      </w:r>
    </w:p>
    <w:p>
      <w:pPr>
        <w:ind w:firstLine="600" w:firstLineChars="200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我们将全面贯例落实中央、省、市、县的各项决策部署，紧紧围绕镇党委、政府的重大布局，抢抓国家扩大投资拉动内需政策机遇，充分发挥财政政策逆周期调节作用，促进经济高质量跨越式发展。优化财政支出结构，着力保障“三保”支出，促进经济持续健康发展、社会和谐稳定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按照上述总体要求，和“保重点、控一般、促优化、提绩效”的要求， 坚持“量入为出，有保有压”的原则，树立过紧日子的思想，大力压缩非工资性支出，结合我镇经济发展状况和促进事业发展的需要，拟定预算收入和预算支出方面的草案如下：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（一）收入预算草案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21</w:t>
      </w:r>
      <w:r>
        <w:rPr>
          <w:rFonts w:ascii="仿宋_GB2312" w:hAnsi="仿宋_GB2312" w:eastAsia="仿宋_GB2312" w:cs="仿宋_GB2312"/>
          <w:sz w:val="30"/>
          <w:szCs w:val="30"/>
        </w:rPr>
        <w:t>年全</w:t>
      </w:r>
      <w:r>
        <w:rPr>
          <w:rFonts w:hint="eastAsia" w:ascii="仿宋_GB2312" w:hAnsi="仿宋_GB2312" w:eastAsia="仿宋_GB2312" w:cs="仿宋_GB2312"/>
          <w:sz w:val="30"/>
          <w:szCs w:val="30"/>
        </w:rPr>
        <w:t>镇</w:t>
      </w:r>
      <w:r>
        <w:rPr>
          <w:rFonts w:ascii="仿宋_GB2312" w:hAnsi="仿宋_GB2312" w:eastAsia="仿宋_GB2312" w:cs="仿宋_GB2312"/>
          <w:sz w:val="30"/>
          <w:szCs w:val="30"/>
        </w:rPr>
        <w:t>财政总收入预算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35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4万</w:t>
      </w:r>
      <w:r>
        <w:rPr>
          <w:rFonts w:ascii="仿宋_GB2312" w:hAnsi="仿宋_GB2312" w:eastAsia="仿宋_GB2312" w:cs="仿宋_GB2312"/>
          <w:sz w:val="30"/>
          <w:szCs w:val="30"/>
        </w:rPr>
        <w:t>元，比20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  <w:r>
        <w:rPr>
          <w:rFonts w:ascii="仿宋_GB2312" w:hAnsi="仿宋_GB2312" w:eastAsia="仿宋_GB2312" w:cs="仿宋_GB2312"/>
          <w:sz w:val="30"/>
          <w:szCs w:val="30"/>
        </w:rPr>
        <w:t>数增长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ascii="仿宋_GB2312" w:hAnsi="仿宋_GB2312" w:eastAsia="仿宋_GB2312" w:cs="仿宋_GB2312"/>
          <w:sz w:val="30"/>
          <w:szCs w:val="30"/>
        </w:rPr>
        <w:t>%；</w:t>
      </w:r>
      <w:r>
        <w:rPr>
          <w:rFonts w:hint="eastAsia" w:ascii="仿宋_GB2312" w:hAnsi="仿宋_GB2312" w:eastAsia="仿宋_GB2312" w:cs="仿宋_GB2312"/>
          <w:sz w:val="30"/>
          <w:szCs w:val="30"/>
        </w:rPr>
        <w:t>一般公共预算收入17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0万元，</w:t>
      </w:r>
      <w:r>
        <w:rPr>
          <w:rFonts w:ascii="仿宋_GB2312" w:hAnsi="仿宋_GB2312" w:eastAsia="仿宋_GB2312" w:cs="仿宋_GB2312"/>
          <w:sz w:val="30"/>
          <w:szCs w:val="30"/>
        </w:rPr>
        <w:t>比</w:t>
      </w:r>
      <w:r>
        <w:rPr>
          <w:rFonts w:hint="eastAsia" w:ascii="仿宋_GB2312" w:hAnsi="仿宋_GB2312" w:eastAsia="仿宋_GB2312" w:cs="仿宋_GB2312"/>
          <w:sz w:val="30"/>
          <w:szCs w:val="30"/>
        </w:rPr>
        <w:t>2020</w:t>
      </w:r>
      <w:r>
        <w:rPr>
          <w:rFonts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  <w:r>
        <w:rPr>
          <w:rFonts w:ascii="仿宋_GB2312" w:hAnsi="仿宋_GB2312" w:eastAsia="仿宋_GB2312" w:cs="仿宋_GB2312"/>
          <w:sz w:val="30"/>
          <w:szCs w:val="30"/>
        </w:rPr>
        <w:t>数增长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ascii="仿宋_GB2312" w:hAnsi="仿宋_GB2312" w:eastAsia="仿宋_GB2312" w:cs="仿宋_GB2312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21年一般公共预算收入，加上上级固定及提前下达结算补助收入733.19万元，减去上解支出107.9万元，</w:t>
      </w:r>
      <w:r>
        <w:rPr>
          <w:rFonts w:ascii="仿宋_GB2312" w:hAnsi="仿宋_GB2312" w:eastAsia="仿宋_GB2312" w:cs="仿宋_GB2312"/>
          <w:sz w:val="30"/>
          <w:szCs w:val="30"/>
        </w:rPr>
        <w:t>预算财力预计</w:t>
      </w:r>
      <w:r>
        <w:rPr>
          <w:rFonts w:hint="eastAsia" w:ascii="仿宋_GB2312" w:hAnsi="仿宋_GB2312" w:eastAsia="仿宋_GB2312" w:cs="仿宋_GB2312"/>
          <w:sz w:val="30"/>
          <w:szCs w:val="30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5.2万元。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（二）支出预算草案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2021年一般公共财政预算支出23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5.2万元。具体安排是：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一般公共服务524.9万元，公共安全支出8.3万元，教育支出10万元，社会保障和就业124.3万元，医疗卫生支出26.4万元，农林水事务687.5万元，城乡社区事务支出830.7万元，住房保障支出46.6万元，灾害防治及应急管理支出16.5万元，年初预留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0万元。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上述安排，我镇财政收入总量小，对上级转移支付的依存度大，收入增长压力不断加大，财政必保支出较多，机关事业单位人员增资，养老保险缴费等刚性支出需求增大，收支矛盾仍然突出，历史遗留问题过多，民生支出增大，加上基础设施建设，生态环境治理、农村综合改革、乡村振兴等方面的投入不断加大等因素影响，2021年我镇财政收支安排依然是紧平衡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三、扎实做好2021年各项财政工作　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镇财政工作的指导思想是：以习近平新时代中国特色社会主义思想为指导，深入贯彻党的十九大精神，继续实施积极财政政策，促进经济较快发展；认真贯彻省、市、县经济会议精神；压缩行政运行成本，优化支出结构，推进公共财政建设，切实保障和改善民生；坚持统筹兼顾、增收节支的方针，牢固树立“过紧日子”的思想；强化财政监督，加强作风建设，树立务实高效的良好形象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（一）全力组织收入，为全镇各项事业发展提供财力保障。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加强税源调查，完善税源台帐，摸清底数，重点服务；二是加强财税部门协作，建立健全税源基础信息共享机制；三是强化监管，以票管非税收入，严禁乱收费，严禁坐收坐支，依法征管，营造公平、公正、和谐的环境。四是做大做强总部经济，夯实财力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（二）不断调整和优化支出结构，落实各项惠民政策及推进财政资金绩效管理。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当前收支矛盾异常突出的形势，财政支出必须实现精细化管理，必须千方百计使财政资金发挥出最大效应。一是继续做到“四个确保”：确保国家标准工资按月足额发放，确保政府正常运转，确保社会保障资金及时到位，确保维护社会稳定需要；二是从严控制一般支出，严格控制“三公”支出，鼓励勤俭节约，反对铺张浪费；三是集中财力办大事，切实提高资金使用效益；五是充分发挥“一卡通“支付平台作用，不折不扣落实好各项惠民政策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（三）推进财政科学化、精细化管理。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完善乡镇国库集中支付改革；加强基础信息收集、录入，逐步完善财政基础信息数据库建设，夯实公共财政改革基础，规范资料档案管理。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（四）加强自身建设，提高创业服务水平。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不断加强财政人员政治和业务上的学习，提高干部把握方针政策、献计献策、服务经济发展能力；二是加强财政人员廉政教育，强化内部制度建设，确保财政人员安全、财政资金安全；三是大力开展财政宣传，争取社会各界理解和支持。同时，利用各种有利机会，不失时机地对镇属各部门、村、企事业单位的会计人员和报账员进行培训，切实提高全镇会计人员和报账员的职业道德和业务素质。</w:t>
      </w:r>
    </w:p>
    <w:p>
      <w:pPr>
        <w:spacing w:line="600" w:lineRule="exact"/>
        <w:ind w:firstLine="600" w:firstLineChars="200"/>
        <w:jc w:val="left"/>
        <w:textAlignment w:val="baseline"/>
      </w:pPr>
      <w:r>
        <w:rPr>
          <w:rFonts w:hint="eastAsia" w:ascii="仿宋_GB2312" w:hAnsi="仿宋_GB2312" w:eastAsia="仿宋_GB2312" w:cs="仿宋_GB2312"/>
          <w:sz w:val="30"/>
          <w:szCs w:val="30"/>
        </w:rPr>
        <w:t>各位代表，2021年的财政工作任务十分艰巨，责任非常重大。我们将在镇党委、政府的正确领导下，在社会各界的大力支持下，依法接受人大监督，深入贯彻落实高质量发展，发扬求真务实、敢于担当的精神，扎实工作，锐意进取，为蛟潭</w:t>
      </w:r>
      <w:r>
        <w:rPr>
          <w:rFonts w:ascii="仿宋_GB2312" w:hAnsi="仿宋_GB2312" w:eastAsia="仿宋_GB2312" w:cs="仿宋_GB2312"/>
          <w:sz w:val="30"/>
          <w:szCs w:val="30"/>
        </w:rPr>
        <w:t>高质量跨越式发展</w:t>
      </w:r>
      <w:r>
        <w:rPr>
          <w:rFonts w:hint="eastAsia" w:ascii="仿宋_GB2312" w:hAnsi="仿宋_GB2312" w:eastAsia="仿宋_GB2312" w:cs="仿宋_GB2312"/>
          <w:sz w:val="30"/>
          <w:szCs w:val="30"/>
        </w:rPr>
        <w:t>做出财政贡献!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4332"/>
    <w:rsid w:val="74292469"/>
    <w:rsid w:val="7E3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440" w:lineRule="exact"/>
      <w:ind w:firstLine="480" w:firstLineChars="200"/>
    </w:pPr>
  </w:style>
  <w:style w:type="paragraph" w:customStyle="1" w:styleId="5">
    <w:name w:val="Normal Indent"/>
    <w:basedOn w:val="1"/>
    <w:qFormat/>
    <w:uiPriority w:val="0"/>
    <w:pPr>
      <w:spacing w:line="44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2021-03-31T08:43:00Z</dcterms:created>
  <dc:creator>Administrator</dc:creator>
  <cp:lastModifiedBy>种花家的流氓兔</cp:lastModifiedBy>
  <dcterms:modified xsi:type="dcterms:W3CDTF">2021-11-10T09:30:36Z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93494932506B449FA83514127E000002</vt:lpwstr>
  </property>
</Properties>
</file>