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黑体" w:hAnsi="黑体" w:eastAsia="黑体" w:cs="黑体"/>
          <w:b w:val="0"/>
          <w:bCs w:val="0"/>
          <w:i w:val="0"/>
          <w:iCs w:val="0"/>
          <w:caps w:val="0"/>
          <w:color w:val="auto"/>
          <w:spacing w:val="0"/>
          <w:sz w:val="36"/>
          <w:szCs w:val="36"/>
        </w:rPr>
      </w:pPr>
      <w:bookmarkStart w:id="0" w:name="_GoBack"/>
      <w:r>
        <w:rPr>
          <w:rFonts w:hint="eastAsia" w:ascii="黑体" w:hAnsi="黑体" w:eastAsia="黑体" w:cs="黑体"/>
          <w:b w:val="0"/>
          <w:bCs w:val="0"/>
          <w:i w:val="0"/>
          <w:iCs w:val="0"/>
          <w:caps w:val="0"/>
          <w:color w:val="auto"/>
          <w:spacing w:val="0"/>
          <w:sz w:val="36"/>
          <w:szCs w:val="36"/>
          <w:shd w:val="clear" w:fill="FFFFFF"/>
        </w:rPr>
        <w:t>浮梁县国民经济和社会发展第十三个五年规划纲要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43434"/>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第一章适应新常态，谱写浮梁发展新篇章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第一节“十二五”时期全县经济社会发展取得了显著成就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二五”时期是个不平凡的五年，在市委、市政府的正确领导下，全县上下坚持以科学发展观为指导，齐心协力，顽强拼搏，扎实工作，战胜了各种困难和挑战，改革开放和社会主义现代化建设取得了新的成就。“十二五”规划确定的主要目标和任务基本完成，为顺利完成下一个五年发展目标奠定了坚实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二五”期间是我县综合实力明显增强的时期。2015年，全县生产总值101亿元，比2010年增加近1倍；全县财政总收入12.3亿元，全社会固定资产投资65.7亿元，城镇居民、农村居民收入分别达到23580元、12710元，社会消费品零售总额达到19.1亿元，均完成或超过“十二五”预期目标。经过“十二五”的发展，全县经济总量稳步提升，综合实力明显增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二五”期间是夯实我县工业发展基础的时期。五年来，我县按照“一园四基地”的功能分区，奋力加强工业基础设施建设，投入工业和工业基础设施建设资金就达20亿元以上。栽好梧桐树，引得凤凰来。陶瓷工业、机械制造、电子信息、矿产建材业、食品加工等工业企业纷纷入园、开业、建成、投产。北汽昌河汽车新基地落户给我县工业经济增长提供了新的增长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二五”期间是我县“三农”工作取得较快发展的时期。五年来，粮食生产保持稳定增长，稳定在18万吨以上。农业产业结构进一步优化，农民人均收入持续增长，新农村建设成效显著。尤其是农业优势产业——茶叶，在五年的连续政策扶助下，取得了很好的成绩，成为农民增收、县域经济增长的重要元素。其中，“浮梁茶”取得了全国首批进驻中国茶业品牌馆的入馆资格，浮瑶仙芝、浮梁贡茶叶基地荣获“国家有机食品生产基地”称号。开展了农村集体土地确权登记发证工作，农村土地承包管理进一步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二五”期间是我县基础设施建设步伐最快的时期。浯溪口水利枢纽工程、九景衢铁路等重大项目建设进展顺利；五年来，基础设施建设投入逐年加大，全县基础设施建设趋于完善。在水利建设方面，全面完成了全县155座病险水库除险加固任务，列入了全省8个中小河流治理重点县之一，中小河流建设取得较好成效；在公路建设方面，完成了黄乐线等一批公路升级改造；在电网改造方面，顺利推进农村电网改造工程建设。景德镇500千伏洪源变电站已建成并投运；在污水处理方面，加快县城垃圾处理和污水处理设施工程建设。3座城镇垃圾中转站和8座乡镇简易垃圾填埋场已完工，11个乡镇污水集中处理站和部分管网建设完成并投入使用；在公益服务设施方面，县人民医院住院部大楼、县综合档案馆、县法律服务中心、县老年大学等一批公共基础设施项目建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二五”期间是我县城市化进程明显加快的时期。五年来，城市基础设施建设投入资金逐年增加，建成区基本实现了“六化”，功能日趋完善，市民幸福指数提高，实现了创建省园林城市的目标。三贤湖公园、天宝公园已建成；滨江景观带美化、三贤湖公园2公里绿道工程已完工；景北大桥、新平大桥建成通车；新昌路、白居易路和县衙路改造完成；县衙中心文化广场竣工；3D数字影院主体建设完工；美术馆已正式对外免费开放；浮梁县群众体育健身馆正在建设中。这些城市基础设施和配套设施使城市功能更趋完善，品位提高，更宜人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二五”期间是我县国企改革扎实推进的时期。五年来，各项改革扎实推进，有序实施了政府职能转变和机构改革，重点领域改革进展顺利，非工系统国有企业改革全面完成，被评为全省七个系统国有企业改革先进县。先后完成农垦企业、乡镇林工站、银坞林场改制，县广播电视台与县文广新局实现了人、物、权分离等工作。全面完成了城乡供水一体化改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二五”期间是我县社会事业协调发展的时期。五年来，我县全面实施城乡免费九年义务教育，公民平均受教育年限在全省领先，教育基础设施进一步完善，小学适龄儿童入学率100%，小学生升学率100%，中考总平均分连续三年位居全市前茅，高考实现保送名牌大学“零”的突破。卫生应急处置能力不断增强，开通了120急救中心，并在蛟潭镇、鹅湖镇设立了急救站。基层文化站建设基本实现全覆盖，有线电视在全县各乡村进村入户。安全生产工作力度加强，连续五年杜绝了煤矿和较大以上安全事故发生。社会保障工作进一步加强，基本养老、医疗、工伤、失业四项保险覆盖面进一步扩大。新农合参合率达99.43%。新型城乡居民养老保险参保率达90.2%。建立了失地农民养老保险制度。社会救助体系逐步完善。社会治安好转率和公众安全感测评排在全省、全市前列，再次被评为“全国平安县”，成为全省连续8年获此殊荣的5个县（市、区）之一。成立了县气象局，结束浮梁无气象观测资料的历史。随着新一代多普勒雷达和风廓线雷达在浮梁建成以及常规气象探测设备的逐步完善，气象防灾减灾能力进一步增强。社会保持和谐稳定，各项社会事业取得了长足发展，人民群众的幸福感和安全感进一步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回顾过去五年的发展历程，我们体会到深入贯彻落实科学发展观，把发展作为第一要务，把广大人民的根本利益作为一切工作的出发点和归宿是我们始终牢牢把握的主线，只有这样，才能全力推进重大项目建设，推进经济和社会各项事业协调发展，才能不断地激发全县31万人民群众建设美好家园的积极性、主动性和创造性。展望未来，我们豪情满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表1：“十二五”规划主要指标完成情况表</w:t>
      </w:r>
    </w:p>
    <w:tbl>
      <w:tblPr>
        <w:tblStyle w:val="4"/>
        <w:tblW w:w="8475" w:type="dxa"/>
        <w:tblCellSpacing w:w="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63"/>
        <w:gridCol w:w="863"/>
        <w:gridCol w:w="1076"/>
        <w:gridCol w:w="1118"/>
        <w:gridCol w:w="1030"/>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指标名称</w:t>
            </w:r>
          </w:p>
        </w:tc>
        <w:tc>
          <w:tcPr>
            <w:tcW w:w="8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单位</w:t>
            </w:r>
          </w:p>
        </w:tc>
        <w:tc>
          <w:tcPr>
            <w:tcW w:w="105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2010</w:t>
            </w:r>
            <w:r>
              <w:rPr>
                <w:rFonts w:hint="eastAsia" w:ascii="仿宋" w:hAnsi="仿宋" w:eastAsia="仿宋" w:cs="仿宋"/>
                <w:i w:val="0"/>
                <w:iCs w:val="0"/>
                <w:caps w:val="0"/>
                <w:color w:val="333333"/>
                <w:spacing w:val="0"/>
                <w:sz w:val="32"/>
                <w:szCs w:val="32"/>
              </w:rPr>
              <w:t>年</w:t>
            </w:r>
          </w:p>
        </w:tc>
        <w:tc>
          <w:tcPr>
            <w:tcW w:w="109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r>
              <w:rPr>
                <w:rFonts w:hint="eastAsia" w:ascii="仿宋" w:hAnsi="仿宋" w:eastAsia="仿宋" w:cs="仿宋"/>
                <w:i w:val="0"/>
                <w:iCs w:val="0"/>
                <w:caps w:val="0"/>
                <w:color w:val="333333"/>
                <w:spacing w:val="0"/>
                <w:sz w:val="32"/>
                <w:szCs w:val="32"/>
              </w:rPr>
              <w:t>十二五</w:t>
            </w:r>
            <w:r>
              <w:rPr>
                <w:rFonts w:hint="eastAsia" w:ascii="仿宋" w:hAnsi="仿宋" w:eastAsia="仿宋" w:cs="仿宋"/>
                <w:i w:val="0"/>
                <w:iCs w:val="0"/>
                <w:caps w:val="0"/>
                <w:color w:val="343434"/>
                <w:spacing w:val="0"/>
                <w:sz w:val="32"/>
                <w:szCs w:val="32"/>
              </w:rPr>
              <w:t>”</w:t>
            </w:r>
            <w:r>
              <w:rPr>
                <w:rFonts w:hint="eastAsia" w:ascii="仿宋" w:hAnsi="仿宋" w:eastAsia="仿宋" w:cs="仿宋"/>
                <w:i w:val="0"/>
                <w:iCs w:val="0"/>
                <w:caps w:val="0"/>
                <w:color w:val="333333"/>
                <w:spacing w:val="0"/>
                <w:sz w:val="32"/>
                <w:szCs w:val="32"/>
              </w:rPr>
              <w:t>规划目标</w:t>
            </w:r>
          </w:p>
        </w:tc>
        <w:tc>
          <w:tcPr>
            <w:tcW w:w="217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2015</w:t>
            </w:r>
            <w:r>
              <w:rPr>
                <w:rFonts w:hint="eastAsia" w:ascii="仿宋" w:hAnsi="仿宋" w:eastAsia="仿宋" w:cs="仿宋"/>
                <w:i w:val="0"/>
                <w:iCs w:val="0"/>
                <w:caps w:val="0"/>
                <w:color w:val="333333"/>
                <w:spacing w:val="0"/>
                <w:sz w:val="32"/>
                <w:szCs w:val="32"/>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8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105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10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完成值</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w:t>
            </w:r>
            <w:r>
              <w:rPr>
                <w:rFonts w:hint="eastAsia" w:ascii="仿宋" w:hAnsi="仿宋" w:eastAsia="仿宋" w:cs="仿宋"/>
                <w:i w:val="0"/>
                <w:iCs w:val="0"/>
                <w:caps w:val="0"/>
                <w:color w:val="333333"/>
                <w:spacing w:val="0"/>
                <w:sz w:val="32"/>
                <w:szCs w:val="32"/>
              </w:rPr>
              <w:t>、地区生产总值</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亿元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54.29</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101</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101</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其中：第一产业</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亿元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9.8</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16</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16</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第二产业</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亿元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30.25</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53.3</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53.3</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第三产业</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亿元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14.23</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30.7</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30.7</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w:t>
            </w:r>
            <w:r>
              <w:rPr>
                <w:rFonts w:hint="eastAsia" w:ascii="仿宋" w:hAnsi="仿宋" w:eastAsia="仿宋" w:cs="仿宋"/>
                <w:i w:val="0"/>
                <w:iCs w:val="0"/>
                <w:caps w:val="0"/>
                <w:color w:val="333333"/>
                <w:spacing w:val="0"/>
                <w:sz w:val="32"/>
                <w:szCs w:val="32"/>
              </w:rPr>
              <w:t>、人均生产总值</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2951</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32600</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32600</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w:t>
            </w:r>
            <w:r>
              <w:rPr>
                <w:rFonts w:hint="eastAsia" w:ascii="仿宋" w:hAnsi="仿宋" w:eastAsia="仿宋" w:cs="仿宋"/>
                <w:i w:val="0"/>
                <w:iCs w:val="0"/>
                <w:caps w:val="0"/>
                <w:color w:val="333333"/>
                <w:spacing w:val="0"/>
                <w:sz w:val="32"/>
                <w:szCs w:val="32"/>
              </w:rPr>
              <w:t>、财政总收入</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亿元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5.39</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10</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12.3</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4</w:t>
            </w:r>
            <w:r>
              <w:rPr>
                <w:rFonts w:hint="eastAsia" w:ascii="仿宋" w:hAnsi="仿宋" w:eastAsia="仿宋" w:cs="仿宋"/>
                <w:i w:val="0"/>
                <w:iCs w:val="0"/>
                <w:caps w:val="0"/>
                <w:color w:val="333333"/>
                <w:spacing w:val="0"/>
                <w:sz w:val="32"/>
                <w:szCs w:val="32"/>
              </w:rPr>
              <w:t>、固定资产投资</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亿元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31.78</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66</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65.7</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w:t>
            </w:r>
            <w:r>
              <w:rPr>
                <w:rFonts w:hint="eastAsia" w:ascii="仿宋" w:hAnsi="仿宋" w:eastAsia="仿宋" w:cs="仿宋"/>
                <w:i w:val="0"/>
                <w:iCs w:val="0"/>
                <w:caps w:val="0"/>
                <w:color w:val="333333"/>
                <w:spacing w:val="0"/>
                <w:sz w:val="32"/>
                <w:szCs w:val="32"/>
              </w:rPr>
              <w:t>、实际利用外资</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万美元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1800</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4380</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4380</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6</w:t>
            </w:r>
            <w:r>
              <w:rPr>
                <w:rFonts w:hint="eastAsia" w:ascii="仿宋" w:hAnsi="仿宋" w:eastAsia="仿宋" w:cs="仿宋"/>
                <w:i w:val="0"/>
                <w:iCs w:val="0"/>
                <w:caps w:val="0"/>
                <w:color w:val="333333"/>
                <w:spacing w:val="0"/>
                <w:sz w:val="32"/>
                <w:szCs w:val="32"/>
              </w:rPr>
              <w:t>、出口总额</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万美元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2815</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14000</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14000</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7</w:t>
            </w:r>
            <w:r>
              <w:rPr>
                <w:rFonts w:hint="eastAsia" w:ascii="仿宋" w:hAnsi="仿宋" w:eastAsia="仿宋" w:cs="仿宋"/>
                <w:i w:val="0"/>
                <w:iCs w:val="0"/>
                <w:caps w:val="0"/>
                <w:color w:val="333333"/>
                <w:spacing w:val="0"/>
                <w:sz w:val="32"/>
                <w:szCs w:val="32"/>
              </w:rPr>
              <w:t>、全社会消费品零售总额</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亿元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10.8</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19.1</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19.1</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w:t>
            </w:r>
            <w:r>
              <w:rPr>
                <w:rFonts w:hint="eastAsia" w:ascii="仿宋" w:hAnsi="仿宋" w:eastAsia="仿宋" w:cs="仿宋"/>
                <w:i w:val="0"/>
                <w:iCs w:val="0"/>
                <w:caps w:val="0"/>
                <w:color w:val="333333"/>
                <w:spacing w:val="0"/>
                <w:sz w:val="32"/>
                <w:szCs w:val="32"/>
              </w:rPr>
              <w:t>、旅游总人数</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万人次</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246</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690</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w:t>
            </w:r>
            <w:r>
              <w:rPr>
                <w:rFonts w:hint="eastAsia" w:ascii="仿宋" w:hAnsi="仿宋" w:eastAsia="仿宋" w:cs="仿宋"/>
                <w:i w:val="0"/>
                <w:iCs w:val="0"/>
                <w:caps w:val="0"/>
                <w:color w:val="333333"/>
                <w:spacing w:val="0"/>
                <w:sz w:val="32"/>
                <w:szCs w:val="32"/>
              </w:rPr>
              <w:t>、旅游综合收入</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亿元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11.2</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18</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w:t>
            </w:r>
            <w:r>
              <w:rPr>
                <w:rFonts w:hint="eastAsia" w:ascii="仿宋" w:hAnsi="仿宋" w:eastAsia="仿宋" w:cs="仿宋"/>
                <w:i w:val="0"/>
                <w:iCs w:val="0"/>
                <w:caps w:val="0"/>
                <w:color w:val="333333"/>
                <w:spacing w:val="0"/>
                <w:sz w:val="32"/>
                <w:szCs w:val="32"/>
              </w:rPr>
              <w:t>2</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10</w:t>
            </w:r>
            <w:r>
              <w:rPr>
                <w:rFonts w:hint="eastAsia" w:ascii="仿宋" w:hAnsi="仿宋" w:eastAsia="仿宋" w:cs="仿宋"/>
                <w:i w:val="0"/>
                <w:iCs w:val="0"/>
                <w:caps w:val="0"/>
                <w:color w:val="333333"/>
                <w:spacing w:val="0"/>
                <w:sz w:val="32"/>
                <w:szCs w:val="32"/>
              </w:rPr>
              <w:t>、五年新增城镇就业</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万人</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2.2</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2.3</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11</w:t>
            </w:r>
            <w:r>
              <w:rPr>
                <w:rFonts w:hint="eastAsia" w:ascii="仿宋" w:hAnsi="仿宋" w:eastAsia="仿宋" w:cs="仿宋"/>
                <w:i w:val="0"/>
                <w:iCs w:val="0"/>
                <w:caps w:val="0"/>
                <w:color w:val="333333"/>
                <w:spacing w:val="0"/>
                <w:sz w:val="32"/>
                <w:szCs w:val="32"/>
              </w:rPr>
              <w:t>、居民消费价格指数</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2.07</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13</w:t>
            </w:r>
            <w:r>
              <w:rPr>
                <w:rFonts w:hint="eastAsia" w:ascii="仿宋" w:hAnsi="仿宋" w:eastAsia="仿宋" w:cs="仿宋"/>
                <w:i w:val="0"/>
                <w:iCs w:val="0"/>
                <w:caps w:val="0"/>
                <w:color w:val="333333"/>
                <w:spacing w:val="0"/>
                <w:sz w:val="32"/>
                <w:szCs w:val="32"/>
              </w:rPr>
              <w:t>、城镇居民人均可支配收入</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13306</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23300</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23500</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14</w:t>
            </w:r>
            <w:r>
              <w:rPr>
                <w:rFonts w:hint="eastAsia" w:ascii="仿宋" w:hAnsi="仿宋" w:eastAsia="仿宋" w:cs="仿宋"/>
                <w:i w:val="0"/>
                <w:iCs w:val="0"/>
                <w:caps w:val="0"/>
                <w:color w:val="333333"/>
                <w:spacing w:val="0"/>
                <w:sz w:val="32"/>
                <w:szCs w:val="32"/>
              </w:rPr>
              <w:t>、农村居民人均可支配收入</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6518</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11080</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12700</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15</w:t>
            </w:r>
            <w:r>
              <w:rPr>
                <w:rFonts w:hint="eastAsia" w:ascii="仿宋" w:hAnsi="仿宋" w:eastAsia="仿宋" w:cs="仿宋"/>
                <w:i w:val="0"/>
                <w:iCs w:val="0"/>
                <w:caps w:val="0"/>
                <w:color w:val="333333"/>
                <w:spacing w:val="0"/>
                <w:sz w:val="32"/>
                <w:szCs w:val="32"/>
              </w:rPr>
              <w:t>、工业增加值占</w:t>
            </w:r>
            <w:r>
              <w:rPr>
                <w:rFonts w:hint="eastAsia" w:ascii="仿宋" w:hAnsi="仿宋" w:eastAsia="仿宋" w:cs="仿宋"/>
                <w:i w:val="0"/>
                <w:iCs w:val="0"/>
                <w:caps w:val="0"/>
                <w:color w:val="343434"/>
                <w:spacing w:val="0"/>
                <w:sz w:val="32"/>
                <w:szCs w:val="32"/>
              </w:rPr>
              <w:t>GDP</w:t>
            </w:r>
            <w:r>
              <w:rPr>
                <w:rFonts w:hint="eastAsia" w:ascii="仿宋" w:hAnsi="仿宋" w:eastAsia="仿宋" w:cs="仿宋"/>
                <w:i w:val="0"/>
                <w:iCs w:val="0"/>
                <w:caps w:val="0"/>
                <w:color w:val="333333"/>
                <w:spacing w:val="0"/>
                <w:sz w:val="32"/>
                <w:szCs w:val="32"/>
              </w:rPr>
              <w:t>比重</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51.9</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50</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53</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16</w:t>
            </w:r>
            <w:r>
              <w:rPr>
                <w:rFonts w:hint="eastAsia" w:ascii="仿宋" w:hAnsi="仿宋" w:eastAsia="仿宋" w:cs="仿宋"/>
                <w:i w:val="0"/>
                <w:iCs w:val="0"/>
                <w:caps w:val="0"/>
                <w:color w:val="333333"/>
                <w:spacing w:val="0"/>
                <w:sz w:val="32"/>
                <w:szCs w:val="32"/>
              </w:rPr>
              <w:t>、电视人口覆盖率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98.31</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99</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17</w:t>
            </w:r>
            <w:r>
              <w:rPr>
                <w:rFonts w:hint="eastAsia" w:ascii="仿宋" w:hAnsi="仿宋" w:eastAsia="仿宋" w:cs="仿宋"/>
                <w:i w:val="0"/>
                <w:iCs w:val="0"/>
                <w:caps w:val="0"/>
                <w:color w:val="333333"/>
                <w:spacing w:val="0"/>
                <w:sz w:val="32"/>
                <w:szCs w:val="32"/>
              </w:rPr>
              <w:t>、高中阶段教育毛入学率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80.3</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86.7</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18</w:t>
            </w:r>
            <w:r>
              <w:rPr>
                <w:rFonts w:hint="eastAsia" w:ascii="仿宋" w:hAnsi="仿宋" w:eastAsia="仿宋" w:cs="仿宋"/>
                <w:i w:val="0"/>
                <w:iCs w:val="0"/>
                <w:caps w:val="0"/>
                <w:color w:val="333333"/>
                <w:spacing w:val="0"/>
                <w:sz w:val="32"/>
                <w:szCs w:val="32"/>
              </w:rPr>
              <w:t>、森林覆盖率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81</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81</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81</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19</w:t>
            </w:r>
            <w:r>
              <w:rPr>
                <w:rFonts w:hint="eastAsia" w:ascii="仿宋" w:hAnsi="仿宋" w:eastAsia="仿宋" w:cs="仿宋"/>
                <w:i w:val="0"/>
                <w:iCs w:val="0"/>
                <w:caps w:val="0"/>
                <w:color w:val="333333"/>
                <w:spacing w:val="0"/>
                <w:sz w:val="32"/>
                <w:szCs w:val="32"/>
              </w:rPr>
              <w:t>、城镇登记失业率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4.5</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4.5</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4.5</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20</w:t>
            </w:r>
            <w:r>
              <w:rPr>
                <w:rFonts w:hint="eastAsia" w:ascii="仿宋" w:hAnsi="仿宋" w:eastAsia="仿宋" w:cs="仿宋"/>
                <w:i w:val="0"/>
                <w:iCs w:val="0"/>
                <w:caps w:val="0"/>
                <w:color w:val="333333"/>
                <w:spacing w:val="0"/>
                <w:sz w:val="32"/>
                <w:szCs w:val="32"/>
              </w:rPr>
              <w:t>、城镇化率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35</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43</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43</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21</w:t>
            </w:r>
            <w:r>
              <w:rPr>
                <w:rFonts w:hint="eastAsia" w:ascii="仿宋" w:hAnsi="仿宋" w:eastAsia="仿宋" w:cs="仿宋"/>
                <w:i w:val="0"/>
                <w:iCs w:val="0"/>
                <w:caps w:val="0"/>
                <w:color w:val="333333"/>
                <w:spacing w:val="0"/>
                <w:sz w:val="32"/>
                <w:szCs w:val="32"/>
              </w:rPr>
              <w:t>、人口自然增长率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7.6</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7.5</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22</w:t>
            </w:r>
            <w:r>
              <w:rPr>
                <w:rFonts w:hint="eastAsia" w:ascii="仿宋" w:hAnsi="仿宋" w:eastAsia="仿宋" w:cs="仿宋"/>
                <w:i w:val="0"/>
                <w:iCs w:val="0"/>
                <w:caps w:val="0"/>
                <w:color w:val="333333"/>
                <w:spacing w:val="0"/>
                <w:sz w:val="32"/>
                <w:szCs w:val="32"/>
              </w:rPr>
              <w:t>、单位生产总值耗</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吨标煤</w:t>
            </w:r>
            <w:r>
              <w:rPr>
                <w:rFonts w:hint="eastAsia" w:ascii="仿宋" w:hAnsi="仿宋" w:eastAsia="仿宋" w:cs="仿宋"/>
                <w:i w:val="0"/>
                <w:iCs w:val="0"/>
                <w:caps w:val="0"/>
                <w:color w:val="343434"/>
                <w:spacing w:val="0"/>
                <w:sz w:val="32"/>
                <w:szCs w:val="32"/>
              </w:rPr>
              <w:t>/</w:t>
            </w:r>
            <w:r>
              <w:rPr>
                <w:rFonts w:hint="eastAsia" w:ascii="仿宋" w:hAnsi="仿宋" w:eastAsia="仿宋" w:cs="仿宋"/>
                <w:i w:val="0"/>
                <w:iCs w:val="0"/>
                <w:caps w:val="0"/>
                <w:color w:val="333333"/>
                <w:spacing w:val="0"/>
                <w:sz w:val="32"/>
                <w:szCs w:val="32"/>
              </w:rPr>
              <w:t>万元</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0.8356</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0.7019</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0.7058</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23</w:t>
            </w:r>
            <w:r>
              <w:rPr>
                <w:rFonts w:hint="eastAsia" w:ascii="仿宋" w:hAnsi="仿宋" w:eastAsia="仿宋" w:cs="仿宋"/>
                <w:i w:val="0"/>
                <w:iCs w:val="0"/>
                <w:caps w:val="0"/>
                <w:color w:val="333333"/>
                <w:spacing w:val="0"/>
                <w:sz w:val="32"/>
                <w:szCs w:val="32"/>
              </w:rPr>
              <w:t>、城镇生活污水集中处理率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75</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80</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80</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24</w:t>
            </w:r>
            <w:r>
              <w:rPr>
                <w:rFonts w:hint="eastAsia" w:ascii="仿宋" w:hAnsi="仿宋" w:eastAsia="仿宋" w:cs="仿宋"/>
                <w:i w:val="0"/>
                <w:iCs w:val="0"/>
                <w:caps w:val="0"/>
                <w:color w:val="333333"/>
                <w:spacing w:val="0"/>
                <w:sz w:val="32"/>
                <w:szCs w:val="32"/>
              </w:rPr>
              <w:t>、城市生活垃圾无害化处理率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90</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95</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95</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2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25</w:t>
            </w:r>
            <w:r>
              <w:rPr>
                <w:rFonts w:hint="eastAsia" w:ascii="仿宋" w:hAnsi="仿宋" w:eastAsia="仿宋" w:cs="仿宋"/>
                <w:i w:val="0"/>
                <w:iCs w:val="0"/>
                <w:caps w:val="0"/>
                <w:color w:val="333333"/>
                <w:spacing w:val="0"/>
                <w:sz w:val="32"/>
                <w:szCs w:val="32"/>
              </w:rPr>
              <w:t>、耕地保有量</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万亩</w:t>
            </w:r>
          </w:p>
        </w:tc>
        <w:tc>
          <w:tcPr>
            <w:tcW w:w="105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33.1</w:t>
            </w:r>
          </w:p>
        </w:tc>
        <w:tc>
          <w:tcPr>
            <w:tcW w:w="10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33.1</w:t>
            </w:r>
          </w:p>
        </w:tc>
        <w:tc>
          <w:tcPr>
            <w:tcW w:w="93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33.1</w:t>
            </w:r>
          </w:p>
        </w:tc>
        <w:tc>
          <w:tcPr>
            <w:tcW w:w="124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注：1、2015年人均生产总值人民币兑美元汇率按1∶6.11计算。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2、生产总值、工业增加值绝对值按当年价格，速度按可比价计算。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第二节“十三五”时期全县经济社会发展面临的新形势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三五”时期是全面深化改革、加快转变经济方式的关键时期，是全面建成小康社会的重要时期。谋划好这个阶段的发展战略、发展思路、发展目标以及发展重点，并制定相应的政策措施，对推动我县经济社会又好又快发展具有十分重要的战略意义。“十三五”时期，我县经济社会发展具有良好的基础条件，但也要清楚的看到，发展不平衡、不协调、不可持续的矛盾仍较突出，传统优势正在减弱，约束性条件和结构性矛盾对经济快速增长的制约仍在加大，维持经济社会发展还面临着不少问题、困难和挑战。“十三五”时期，既是发展的“黄金机遇期”有多项政策的支持，也是“矛盾凸显期”“转型攻坚期”；我县在审视国内外、省市的外部发展环境的前提下，准确判断、紧抓机遇，发挥自身优势，应对各种挑战；着力聚焦重点产业发展与创新、民生保障、社会事业、城镇化转型、改革突破、农业现代化、生态环保和资源节约等方面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发展环境。从国际形势看，世界经济仍处于金融危机后的复苏和变革期，全球利益格局的战略博弈更加复杂，国际规则主导权的争夺更加激烈，外部环境的不稳定性和不确定性增加。“十三五”全球经济将呈缓慢艰难复苏态势。发达国家的“制造业回归”和新兴产业发展会对我国劳动力密集型产业形成挤压。世界经贸格局发生重大变化，发达国家推动的新一轮国际贸易规则调整将会给我国适应新的自由贸易体制带来新的挑战和压力。全球科技革命浪潮正在兴起，世界各国不断加大科技创新力度，推动基础学科领域的突破发展。新兴产业加速发展，产业更新换代速度加快，正在引发全球性的产业变革。随着发达国家新一轮产业升级的实施，全球产业分工也将面临新的调整，我国的经济社会发展方式的转型也迫在眉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从国内形势看，在未来一个时期，我国经济“三期叠加”的影响仍然存在，经济社会发展中出现许多新特征、新趋势，面临着新挑战。我国经济增长开始由高速向中高速转变，国家调低了“十三五”的发展预期。我国经济发展方式将从规模速度型粗放增长向质量效率型集约增长转变，实施创新驱动战略，产业结构升级调整势在必行。工业化与信息化深度融合，不断催生新业态。新型城镇化加速推进，并与工业化、农业现代化协调互动，将为我国经济发展释放更大的内需潜力。“一带一路”、长江经济带、京津冀一体化等国家区域发展战略的全面实施都会为我国的加速发展提供新的空间。深化改革与依法治国的全面推进，为我国保持经济平稳发展释放新的动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从省内看，“十二五”以来，特别是省十三届七次全会以来，面对极为复杂的国内外发展环境的严峻考验，全省确立“发展升级，小康提速，绿色崛起，实干兴赣”方针，找到了一条适合江西省情的发展新路。我省经济总量迈上新台阶，产业集聚发展态势良好，昌九一体化等省级层面战略全面启动，为“十三五”发展奠定了扎实基础。随着鄱阳湖生态经济区建设、江西省生态文明先行示范区建设上升为国家战略、赣南等原中央苏区振兴发展、昌九一体化等战略全面实施。交通设施建设加快推进，区位条件有所改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从市内发展条件看，景德镇市委十届十二次会议提出“打造一座与世界对话的城市、复兴千年古镇、重塑世界瓷都、保护生态家园、建设旅游名城”的发展定位，确立了做强陶瓷产业、做大航空产业、做优汽车产业、做旺旅游产业的“3+1”产业体系，以及国际化思维、全域化规划、项目化推进、景区化建设、一体化发展的五化举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从县内发展条件看，我县作为“世界瓷都之源”、“中国名茶之乡”，紧邻千年瓷都景德镇市区，是江西省十大旅游强县、江西省首批生态文明先行示范县，随着九景衢铁路、皖赣铁路复线等相继建成，将更有利于我县融入长三角经济圈，发挥承东启西、辐射周边的区位优势。“旅游强县”发展战略步伐不断加快，交通、水利、电力等基础设施条件持续改善，支撑经济社会快速发展的能力也不断加强。新常态下，我县会以生态为载体、打造生态工业、生态旅游发展之路，在“十三五”期间实现转型、追赶跨越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困难与挑战。我县经济总量小、城镇规模小、财政蛋糕基础薄弱的面貌还没有发生转变，经济增长主要依靠投资拉动。三产结构距“十二五”规划提出的目标仍有差距，第一产业占比仍然偏高，第二产业占比严重不足。工业规模企业少，高新技术产业项目少，重点工程项目建设慢，投产项目达产达标慢；精深加工和高附加值的产品少，企业管理水平低，自主创新能力、协作配套能力弱，工业增加值增速有所回落；传统服务业比重大，以现代物流、金融保险、信息咨询、生态旅游为代表的现代服务业发展不快，层次不高；外向型经济低迷，外贸企业出口订单明显减少；农业产业链短，附加值低，农业基础设施落后，农业产业化进程缓慢；城镇规划、布局、建设还不完善，教育、文化、商业等公共服务基础设施建设滞后，又再次被边缘化的趋势；收入增长尚未实现有效支撑，房地产市场低迷以及其他宏观政策因素导致全县财政增收困难，城乡居民增收的基础薄弱，与全国同步进入小康社会压力巨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总体来说，“十三五”时期我县将主要围绕率先全面建成小康社会，按照努力建设“四个浮梁”，着力把浮梁打造成为在全省乃至全国具有鲜明特色和影响力的“四区一城”发展定位，处于大有可为的战略机遇期，机遇与挑战并存，机遇大于挑战。全县上下应积极适应经济新常态，着力改革创新和转型升级保持经济平稳较快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第三节“十三五”时期全县经济社会发展的指导思想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三五”时期，全县经济社会发展的总体思路是：以习近平总书记系列重要讲话精神为引领，遵循“四个全面”战略布局，坚持“创新、协调、绿色、开放、共享”五大发展理念，大力实施产业强县、绿色崛起、城乡统筹、共享发展战略，努力建设“四个浮梁”（实力浮梁、生态浮梁、宜居浮梁、幸福浮梁），着力把浮梁打造成为在全省乃至全国具有鲜明特色和影响力的“四区一城”（汽车产业集聚区、生态文明样板区、文化生态旅游区、生态农业示范区和山水园林城市），率先全面建成小康社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做好“十三五”时期的各项工作，要以全面建成小康社会为目标，全面深化改革，转变经济发展方式，注重政治、经济、社会、生态的协调发展。把握“三统一、两并举”原则，即壮大总量与提高质量相统一、内需拉动与开放带动相统一、城乡统筹与民生保障相统一和经济发展与生态文明并举、深化改革与依法治县并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——壮大总量与提高质量相统一。坚持发展为第一要务，保持战略定力，坚持战略思维，促进经济平稳健康发展。同时，在发展中促转变，在转变中谋发展，实现速度、效益、质量、结构相统一。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内需拉动与开放带动相统一。主动适应新常态，扩大有效投资，培育消费新热点，厚植发展动力。同时，坚定不移地实施开放带动战略，突出特色，发挥优势，紧密衔接国家及省重大战略，拓展发展空间，发展更高层次的开放型经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城乡统筹与民生保障相统一。从健全社会保障体系、稳步提高居民收入、完善城镇公共设施、加强社会事业发展等方面，着力保障和改善民生。同时，推行新型城镇化，推进基本公共服务和社会保障体系均等化，使发展成果由人民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——经济发展与生态文明并举。坚持经济绿色、生态、可持续发展，把生态文明理念贯穿于经济社会发展各方面和全过程，加快资源节约型、环境友好型社会建设，形成人与自然和谐发展现代化建设新格局。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深化改革与依法治县并举。坚持社会主义市场经济改革方向，全面深化改革，优化行政体制，不断激发市场活力，促进社会体制公平公正。同时，加快法治浮梁建设，加强和创新社会治理，为与全国同步进入小康社会提供强大动力和可靠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第四节“十三五”时期全县经济社会发展目标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综合考虑我县经济社会发展基础及未来五年发展潜力，“十三五”时期要实现国民经济持续快速健康稳定发展和社会全面进步，全面建成小康社会。具体目标如下：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——经济实力进一步增强。到2020年，全县生产总值达到130亿元，年均增长8%；财政总收入19亿元，年均增长9%；规模工业增加值85亿元，年均增长9%；全社会固定资产投资115亿元，年均增长12%。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经济结构继续优化。到2020年，三次产业结构比例调整为12:53:35。规模工业增加值占生产总值的比重达30%以上。农业现代化水平进一步提高，非农就业比重达到60%左右。服务业水平大幅度提升，所有制结构、企业组织结构、技术结构和产品结构进一步改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经济增长质量明显改善。资源利用效率显著提高，到2020年，单位生产总值能源消耗比进一步降低。全社会研究与开发经费占全县生产总值的比重明显提高。科研成果向现实生产力转化加快，科技进步对经济增长的贡献率进一步提高。财政收入占生产总值的比重稳步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统筹城乡发展取得重大进展。城镇布局合理，城镇功能全面提升，重点镇、区域中心镇综合竞争力和辐射带动能力增强。到2020年，城镇人口达15万人，其中县城人口达8万人，城镇化率达48%以上。建设社会主义新农村取得明显实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——基础设施进一步完善。建设便捷畅通、高效安全的交通体系、安全可靠的能源保障体系、防洪减灾和开发利用相结合的水利保障体系、优质高效的信息化服务体系，满足经济社会发展及人民生活需要。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——生态文明建设取得重大进展。生态文明先行示范县全面建成，生产方式和生活方式绿色、低碳水平明显提升。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公共服务体系更加健全。教育全面发展，到2020年，小学生升学率保持100%，居民平均受教育年限10年，基本普及高中阶段教育。农村社会保障体系初步建立，每千人口医院和卫生院床位数达1.8张，每千人老人健康养老床位数4.5张，城镇职工参加基本养老保险、基本医疗保险、失业保险覆盖率、新农合参合率及新型农村社会养老保险分别达98%、98%、85%、99.9%、95%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——可持续发展能力提高。到2020年，全县森林覆盖率稳定在81%以上，城镇绿化覆盖率46%，空气质量达到国家一级标准，城镇生活污水集中处理率85%，城镇垃圾无害化处理率95%，人口自然增长率控制在9.7‰以内。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人民物质精神生活水平持续提高。到2020年，城镇居民人均可支配收入36000元，农村居民人均可支配收入20000元，城镇登记失业率控制在4.5%以内，5年内城镇新增就业人数达到1.5万人左右。社会事业全面进步，基本公共服务供给更加充足。基础教育实现均等化，高中教育基本普及，全面实现免费中等职业教育。公共卫生服务水平明显提高，社会保障水平不断提高，城镇居民基本医疗保险实现全覆盖，就业持续增长，基本消除城镇“零就业”家庭；建成更加公平、可持续的社会保障制度，实现城乡服务均等化，人民群众的幸福感显著增强。居（村）民人均收入年均增速不低于江西省县级平均水平，与2010年相比，提前翻一番；中等收入群体持续扩大；现行标准下的贫困人口全面脱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——市场经济体制比较完善。到2020年，行政管理、国有企业、财税、金融、科技、教育、文化等领域的改革和制度建设取得突破。开放型经济达到新水平，实际利用外资年均增长5%，外贸出口有突破性进展。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表2：“十三五”时期经济社会发展主要指标表</w:t>
      </w:r>
    </w:p>
    <w:tbl>
      <w:tblPr>
        <w:tblStyle w:val="4"/>
        <w:tblW w:w="8850" w:type="dxa"/>
        <w:tblCellSpacing w:w="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4"/>
        <w:gridCol w:w="2625"/>
        <w:gridCol w:w="883"/>
        <w:gridCol w:w="1477"/>
        <w:gridCol w:w="1619"/>
        <w:gridCol w:w="810"/>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5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类别</w:t>
            </w: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指标名称</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单位</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2015年</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2020年</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年均增长(%)</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展</w:t>
            </w: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地区生产总值</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亿元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101</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130</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人均生产总值</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33200</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40000</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财政总收入</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亿元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12.3</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19</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固定资产投资</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亿元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65.7</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115</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12</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社会消费品零售总额</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亿元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19.1</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30</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10</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旅游综合收入</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亿元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52</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87</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11</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出口总额</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万美元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14000</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15000</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实际利用外资</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万美元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4380</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5500</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构</w:t>
            </w: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一、二、三产业比例</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16∶53.3∶30.7</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12∶53∶35</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工业化率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55</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55</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居民消费率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52</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五年提高2个百分点</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城镇化率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43</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48</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研发经费占GDP比重</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参照市指标执行</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生</w:t>
            </w: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全县总人口</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万人</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31</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32</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城镇居民人均可支配收入</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23500</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36000</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农村居民人均可支配收入</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元</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12700</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20000</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10</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城镇调查失业率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4.5</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4.5</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城镇新增就业人数</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万人</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0.34</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五年新增就业1.5万人</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主要劳动年龄人口平均受教育年限</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年</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9.41</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10</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居民预期寿命</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岁</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75</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达到国家平均水平</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基本养老保险参保率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98</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98</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城乡三项医疗保险参保率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98</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98</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57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态文明</w:t>
            </w: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耕地保有量</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万亩</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33.1</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33.1</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森林覆盖率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81</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81</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非石化能源占一次能源消费比重</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参照市指标执行</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全县监测断面水质达标率比重</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100</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100</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单位生产总值能耗累计下降</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16.25</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参照市指标执行</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单位生产总值二氧化碳排放累计下降</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参照市指标执行</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二氧化硫排放累计下降</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参照市指标执行</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主要污染物排放累计下降</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参照市指标执行</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城镇生活污水集中处理率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95</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95</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57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43434"/>
                <w:spacing w:val="0"/>
                <w:sz w:val="32"/>
                <w:szCs w:val="32"/>
              </w:rPr>
            </w:pPr>
          </w:p>
        </w:tc>
        <w:tc>
          <w:tcPr>
            <w:tcW w:w="270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城镇生活垃圾无害化处理率</w:t>
            </w:r>
          </w:p>
        </w:tc>
        <w:tc>
          <w:tcPr>
            <w:tcW w:w="8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147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80</w:t>
            </w:r>
          </w:p>
        </w:tc>
        <w:tc>
          <w:tcPr>
            <w:tcW w:w="162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85</w:t>
            </w:r>
          </w:p>
        </w:tc>
        <w:tc>
          <w:tcPr>
            <w:tcW w:w="79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w:t>
            </w:r>
          </w:p>
        </w:tc>
        <w:tc>
          <w:tcPr>
            <w:tcW w:w="81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i w:val="0"/>
                <w:iCs w:val="0"/>
                <w:caps w:val="0"/>
                <w:color w:val="343434"/>
                <w:spacing w:val="0"/>
                <w:sz w:val="32"/>
                <w:szCs w:val="32"/>
              </w:rPr>
              <w:t>约束性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第二章聚焦产业发展，建设“实力浮梁”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第一节打造“汽车产业集聚区”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紧紧抓住、用好北汽昌河汽车战略重组机遇，将洪源工业基地打造成为集汽车产品研发、整车生产、零部件配套、仓储物流为一体的“汽车产业集聚区”。到2020年，汽车产业成为全县引领发展、支撑全局的主导产业，成为全县带动力最强、关联度最高、经济贡献率最大的领跑产业，全产业链实现销售收入500亿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全力推进江西昌河景德镇产业基地项目建设。继续加大力度，为江西昌河景德镇产业基地项目建设提供全方位服务，保障项目后续建设按计划实施，到2020年，项目全面建成，实现预期生产规模。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快景德镇汽车配套产业园项目建设。按照“统一规划、分步实施”的原则，逐步推进配套产业园建设，完善产业园基础设施，加快江西昌河景德镇新基地与产业园间跨杭瑞高速公路大桥建设项目的实施，推进入园汽配企业加快建设，为江西昌河景德镇新基地整车生产提供“零距离”全配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与此同时，推进以建筑陶瓷产业为主的三龙工业基地和以航空、机械加工产业为主的湘湖工业基地建设，促进产业集群化发展。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第二节打造“生态农业示范区”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以工业理念推进农业产业化，着力抓好以茶叶为主导的特色农业发展，把我县建设成为绿色有机农产品生产供应基地，打造1-2个省级以上生态农业示范园。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做优做实茶叶产业。实施龙头带动、加大对茶叶企业的扶持力度、积极引进有实力的大企业投资浮梁茶产业，着力培育茶叶龙头企业，鼓励有条件的企业上市发展，围绕打造“浮梁茶”品牌，加快资源、要素整合，实施“统一品牌、统一标准、统一营销”工程，深入推进标准化生态茶园建设，发展绿色有机茶，加大茶叶生产加工标准化体系、市场营销体系、质量安全体系等建设力度，同时注重做好品牌宣传，提升“浮梁茶”的影响力和美誉度，深入挖掘茶文化内涵，大力发展茶馆、茶文化体验游等，进一步延伸产业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专栏2-1浮梁“十三五”茶叶规划纲要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一、发展思路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十三·五”期间，茶产业的发展要紧紧围绕茶产业经济的跨越式发展和企业增效、茶农增收这一主线。坚持以优化茶园结构为基础，提高茶园单位面积效益，以扩大“机剪、机采、机制”规模为重点，提升茶叶加工能力；以引导龙头企业转型升级，实现产品结构多元化调整为突破口，增强浮梁茶产品市场竞争力；以浮梁茶区域公共品牌建设为抓手；促进“浮梁茶”品牌和企业产品品牌的进位升级；以挖掘与弘扬浮梁茶文化底蕴为方向，搭建“瓷茶同辉”具有浮梁特色的茶文化平台，完善茶叶全产业链各环节的协调互助，实现茶叶产业的可持续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二、发展目标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至2020年，全县茶园总面积达到20万亩，较2015年新增茶园面积5.4万亩，良种茶园面积13万亩，“三品一标”论证面积20万亩，其中：无公害论证基地60个，绿色食品、有机基地论证10个，达标面积10万亩，论证面积5万亩；至2020年，实现茶叶总产量2.4万吨，实现茶叶总产值（综合产值）15亿元；至2020年全县茶叶企业个数达到80家，茶叶专业合作社100家，其中，市级以上龙头企业30家，省市级茶叶专业示范合作社20家，全县大宗茶加工能力达到15000吨，其中：名优茶机械加工能力2000吨；至2020年，“浮梁茶”区域品牌旗下企业占全县企业总数的90%以上，“浮梁茶”品牌产品总销售额10亿元，品牌价值列全国百强品牌榜前20位，浮梁茶产品销售覆盖全国主要城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三、工作措施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按照“科学规划，合理布局，分类指导，优化结构”的总体原则。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（一）优化茶园结构，提高茶园单位面积产量和效益。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1、茶园基地扩改工程。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以“一线两片”（一线：浮梁镇至蛟潭镇、峙滩乡、兴田乡昌江沿岸为产区的景蛟线，两片：浮东片包括瑶里、鹅湖、庄湾、王港等乡镇，浮北片包括西湖、勒功、江村、经公桥等乡镇）为重点，促进“两类基地”（高山名优茶基地和丘陵平地高标准茶园基地）建设的茶园基地规划布局。每年新建和改造提升茶园基地面积10000亩，通过茶园机耕路、园貌等茶园基础条件改善，实现茶园良种化，栽培生态化，管理机械化，生产清洁化、产品优质特色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2、茶园基地质量体系建设工程。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按照“有机茶园管理实行有机化，常规茶园无害化”的要求，推广茶园无害化防治面积10万亩，有机茶园5万亩；完善茶叶农残速测体系建设。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3、有机茶园基地建设工程。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坚持“企业、合作社自主申报，政府扶持”的方式，充分发挥龙头企业、合作社的带动作用，按照“公司+基地（合作社）+农户”的管理模式，加快有机茶园发展步伐。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（二）倡导转型升级，提升企业的茶产品加工能力和市场竞争力。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1、发展外贸茶，提升外贸出口茶的品质和形式。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积极鼓励支持一批企业和合作社，在完善和扩大大宗茶初制加工的同时，重点发展大宗红、绿茶的精深加工业，培植外贸出口企业，实现生产与加工的产业分工发展，至2020年全县规模性大宗茶初制加工厂达到60家，初制加工能力达到2万吨；规模化红绿茶精制加工厂发展到15家，精制茶加工能力达到2万吨，外贸出口企业2家，年出口商品茶达到1.5万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2、引导龙头企业加强自身建设。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规范管理制度，提升企业文化和茶文化内涵，调整产品结构，建立多种形式的产品销售平台，不断增强浮梁茶国际国内的市场份额和竞争能力。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3、加大以茶招商、政府和社会多元化投资力度。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各产茶乡镇与龙头企业要进一步深化产权改革力度，制订以茶招商、以茶联姻的优惠政策，努力搭建招商、联姻平台，营造良好的氛围，筑巢引凤，把浮梁的茶叶产业不断做大做强。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（三）精心整合品牌，促进“浮梁茶”区域品牌和企业产品品牌的进位升级。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1、精心组织“浮梁茶”系列活动。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2、强化宣传，努力提升浮梁茶品牌知名度。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3、继续规划建设浮梁茶文化街区第二、三期工程，把茶文化街区建成集茶文化展示，茶商品贸易与旅游为一体的多功能体验活动区。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4、进一步搭建浮梁茶营销平台，实现浮梁茶销量的新突破。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（四）努力挖掘与弘扬茶文化底蕴，搭建“瓷茶同辉”浮梁特色的茶文化平台。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引进外来资本，鼓励引导县内企业打造建设茶文化与茶产品相结合的茶博园。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发展生态精品农业。以发展原生态精品农业为突破口，把我县建设成为优质绿色农产品供应基地。依托我县良好的生态环境优势，大力发展有机稻、高产油茶、无公害果蔬品等优势产业，全面限制合成农药、化肥的使用，提高农产品品质，创立一批农产品品牌，打造一批生态精品农业基地。同时，加大农业龙头企业和农民专业合作组织培育，农村土地流转、农业服务体系建设力度，进一步提升农业生产的规模化、集约化发展，推进农业“原生态化、标准化、精品化、产业化”，力争五年内培植1家以上国家级农业龙头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第三节打造“文化生态旅游区”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认真贯彻国务院《关于促进旅游业改革发展的若干意见》，以创新体制机制为重点，坚持政府主导，精品带动，集约化经营，区域合作，可持续发展五大战略，树立“全域化旅游、泛产业融合、市场化运作”的理念，突出“世界瓷都之源，中国名茶之乡”旅游品牌，科学有序开发、全面深度整合旅游资源，通过良好口碑和品牌效应的拉动，不断保持和提高浮梁在区域旅游发展格局中的竞争力，将浮梁打造成功能齐全，满足多层次、多元化需求，文化底蕴深厚、乡村气息浓厚、生态环境优良的综合型文化休闲旅游目的地。到2020年底，力争全县游客接待量达到800万人次，其中海外游客15万人次，全县旅游业总收入达到90亿元以上，旅游业增加值占全县GDP的比重提高到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优化旅游发展规划。按照“三集群一环线”（三集群：浮梁古城旅游发展集群、瑶里景区旅游发展集群、浯溪口库区及浮北古村落旅游集群；一环线：打通浮北与浮东景区连接便捷通道，与景瑶线及206国道构成县域旅游循环线路）总体布局，根据各景区景点特点和定位，对旅游发展规划进行优化升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抓好景区景点建设。坚持“政府主导、市场运作、社会参与”的原则，进一步加大景区景点开发力度，丰富旅游产品、完善基础设施，推进“三集群”建设，打造一批3A级以上景区，力争创建两个国家5A级景区。把旅游与古村落保护、秀美乡村建设、休闲观光农业有机结合，发展以“一幅乡景、一份乡趣、一缕乡情”为主题的特色乡村生态旅游，拉动“一环线”经济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1、县城旅游发展篇。浮梁县城（含旧县城）将打造成集“吃、住、行、游、购、娱”为一体旅游综合服务核心区。当前重点工程项目主要有：古县衙廉政文化广场、古县衙廉政教育基地项目、三贤湖公园、“三贤码头”休闲项目、浮梁古城恢复项目、宝积禅寺佛教文化养生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2、景瑶沿线靓化旅游综合发展篇。为了更好地策应瑶里景区旅游目的地项目建设，带动景瑶沿线休闲度假类乡村旅游项目，县委、县政府对景瑶沿线的村庄进行了全面的靓化性改造。同时，通过政府投入和吸引各类社会资产，对景瑶沿线的乡村旅游资源进行投资打造，全面丰富浮东旅游产品。当前主要重点旅游项目有：双龙湾农业生态园、新佳茶园、陶然山庄、天宝龙窑、麻仓景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3、高岭--瑶里旅游发展篇。根据瑶里景区旅游发展总体规划，在国家创5A级旅游风景区的同时，通过5年左右时间，将瑶里打造成集休闲、度假、观光、娱乐集一体国家级旅游度假型景区。重点提升改造高岭矿山公园、瑶里旅游综合服务区、瑶里古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4、古村旅游开发篇。利用国家兴建浯溪口水库的战略机遇和两个中国历史文化名村的金子招牌，重点发展浮北休闲、度假、观光、娱乐乡村旅游。将浯溪口水库打造成国家4A级旅游风景区，沧溪和严台村打造成国家3A级旅游风景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创新经营管理体制机制。理顺政府与企业之间的关系，建立权责一致、科学高效的景区景点管理体制和运行机制。开发自驾游、自助游、房车游等多元化旅游模式，建立“互联网+”旅游新业态，实行智慧化经营管理，提高旅游业的组织化程度和旅游企业的经营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第四节提升服务业发展水平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抢抓养老产业发展机遇。浮梁山清水秀，交通区位优越，养生养老条件得天独厚。要把握全国人口老龄化及实施带薪休假成为新常态的养老产业发展机遇，盘活用好资源，谋划和实施一批重点项目，把我县建设成为健康养老、养生度假胜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快电子商务平台建设。电子商务是大力发展实体经济、提升广大中小企业竞争力的必然要求；根据我县经济社会实际和区域发展格局，制定并落实优惠政策，加快推进电子商务综合服务平台建设，为各领域开发电子商务应用提供有效的服务支持。以电子商务融合传统产业转型发展为主线，以平台建设为抓手，以人才集聚为支撑，凝聚工作合力，激发企业活力，加快形成产业政策完善有力，管理体制合理高效，产业体系基本健全，公共服务基本完备的电子商务产业发展生态圈。加快发展农业电子商务，重点突破鲜活农产品电子商务的瓶颈制约，指导支持新型经营主体对接电商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大力发展现代物流业。依托现有产业基础和优势，结合“互联网+”给物流行业带来的巨大发展机遇，推进特许加盟、连锁经营、物流配送、营销代理等现代营销方式，支持具有竞争力的企业探索多种新型业态。推进物流业与现代农业、新型工业在更高水平上有机融合。依托九景衢铁路、济广高速和杭瑞高速形成的交通枢纽，立足新的区位优势，开展浮梁地区物流总体规划，优化物流产业发展布局；加快重点物流园区和物流市场建设，引导物流企业联合重组，着力培育一批现代物流龙头优势企业，提高现有物流企业的集中度和规模；加快物流基础设施改造，提高现有设施的使用效率；推进物流配套服务设施建设，建立仓储运输、信息网络、餐饮住宿等综合一体化服务体系；推进物流综合信息平台建设，完善品牌孵化、交易展示、仓储配送、国际贸易等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不断完善金融服务体系。进一步发展壮大金融保险业，适度增加金融机构，鼓励建设面向产业发展的投资创业服务中心等资源共享服务平台，建立和完善产业公共服务机制。发展绿色金融，实现经济金融良性互动。积极支持发展国有商业银行和地方金融机构来浮梁设立支行，不断完善浮梁银行业机构体系。鼓励和支持国内外保险公司设立独立法人机构，推动各类专业性保险公司设立。大力引进和发展各类证券、期货经营机构，积极探讨各类债券融资方式。紧紧抓住产业转型升级契机，进一步挖掘潜力、整合资源、突出重点，错位发展各类现代服务业，加大创新信贷服务，搭建政银、银企合作平台，通过政银、银企合作等形式，构建高效、合理、完善的服务机制。大力推进农村金融组织创新，构建新型支农组织体系，强化对“三农”信贷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第三章打造“生态文明样板区”，建设“生态浮梁”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树立尊重自然、顺应自然、保护自然的生态文明理念，全力推进生态文明先行示范区建设，把生态文明建设融入经济社会发展的全过程，着力推进绿色发展、循环发展、低碳发展，加快形成有利于节约能源资源、保护自然生态环境的产业结构、增长方式、消费模式和制度体系，把生态优势转为产业优势和经济优势，围绕“一年开好局、三年见成效、六年大进展”的目标，探索生态文明示范县建设的有效模式，努力走出一条具有浮梁特色的生态文明建设新路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第一节巩固提升生态优势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严守生态保护红线，坚持源头严防、过程严管、损害严惩、责任追究，形成有利于生态文明建设的利益导向，建立健全生态补偿机制。严格基本农田保护，强化土地规划和年度计划管控，严格用途管制和供后管理，处置闲置土地，执行建设用地投资强度和容积率“双控”标准，提高土地利用率。坚持生态建设为主的林业发展战略，贯彻“多封山、重低改、强管理、精造林、活机制、降消耗、求效益”二十一字方针，稳定保持生态大县地位。规范生物物种资源保护管理、聚集收纳、驯养繁殖、科研监测等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农业生态建设。围绕田网、渠网、路网“三网”配套，大规模开展田型调整，整治维修农田灌排设施，配套完善田间耕作道路，加大耕层保护和地力培肥。实施化肥零增长行动，大力推广科学施肥扩大测土配方施肥使用范围。实施农药零增长行动，坚持综合治理、标本兼治，实现科学用药和精准施药。全面推行高毒农药定点经营，建立高毒农药可追溯体系。加速生物农药、高效低毒低残留农药推广应用。坚持种养殖结合、动态平衡，推行“生态养殖+沼气+绿色种植”循环生产模式，大力发展畜禽标准化适度规模养殖。支持养殖企业推广沼气工程和干湿分离处理畜禽粪便，生产加工沼渣沼液和有机肥，加快生态农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林业生态建设。坚持生态建设为主的林业发展战略，树立尊重自然、顺应自然、保护自然的生态文明理念，贯彻“多封山、重低改、强管理、精造林、活机制、降消耗、求效益”二十一字方针，稳定保持生态大县地位。以昌江河及其支流、鸡冠石—天荷山—八字脑、五股尖—人字头—黄字号、景瑶线、206国道、济广高速等“一江、两脉、三路”两侧的森林保护为重点，推进110万亩国家和地方生态公益林、76万亩自然保护区和小区，67万亩天然林阔叶林保护等林业生态工程建设，构建功能较完备的林业生态系统；以国营林场、林业合作社、营造林大户等经营主体为重点，实施人工造林5万亩、森林抚育5万亩、低产林改造6万亩、苗木花卉1万亩及野生动物驯养等工程建设，推进用材林基地、木竹加工及森林旅游、森林休闲、森林疏菜等林下经济发展，构建效益较高的林业产业体系；以风景名胜区、浯溪口库区、文化名村等为重点，推进森林公园、湿地公园、古树名木保护、生态文化村等工程建设，打造内涵较丰富的林业文化体系。到“十三五”末，全县森林覆盖率稳定在81%以上，活立木蓄积量达到1380万立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维护生物多样性。规范生物物种资源保护管理、聚集收纳、驯养繁殖、科研监测等活动。在野生植物资源方面，对南方红豆杉、银杏等国家一级重点保护植物实行重点管理，特别是鹅湖镇高峰村、兴田程家山、瑶里新屋下、蛟潭李库村等面积较大、数量较多的南方红豆杉聚集地实行县级保护管理，建立独立的管理档案、乡（村）领导挂点保护等制度，实行有效保护。在野生动物资源方面，要着力保护好我县现有的黑麂、云豹、金钱豹、白颈长尾雉、中华秋沙鸭等五种国家一级重点野生动物，依托保护区实行保护。通过对野生动植物等自然资源的保护管理，建立物种资源保护的长效机制，为我县生物物种资源的保护管理打好基础。对已经产生危害的豚草等外来物种要加大灭杀力度，每年进行大规模有效地灭杀行动，大幅度减少豚草成活面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土地利用与保护。坚持耕地保护优先，数量质量并重，全面强化规划统筹、用途管制、用地节约和执法监管。加快建立耕地保护共同责任、经济激励和社会监管机制。划定永久基本农田25.9万亩，严守33.1万亩耕地红线，确保耕地实有面积基本稳定，质量稳中有升。加大政府投入，推进高标准农田建设，减缓耕地污染，加大耕地污染的治理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第二节从严实施环境保护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实行最严格的环境保护制度，切实保护好浮梁的绿水青山。加大环境治理力度，以提高环境质量为核心，推进多污染物综合防治和治理，深入实施大气、水土污染防治行动计划，实施工业污染源全面达标排放，加大农业面源污染防治力度。实现城乡生活污水垃圾处理设施全覆盖和稳定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强化农业面源污染治理。加强农业面源污染的综合防治，禁止使用高残留、难降解农药，提高秸秆和农膜等农业废弃物的综合利用，鼓励施用有机肥，实行配方施肥和平衡施肥，减少化肥、农药和各类激素等化学物质的使用量，减少耕地污染面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林业有害生物防治。“十三五”期间，完成“全国县级林业有害生物防治示范站”建设，带动乡（镇）、村测报点建设；继续争取松材线虫病预防体系建设工程二期项目工程；启动《长江经济带森林和自然生态保护与恢复》中的生物隔离带和松材线虫病治理项目工程。到2020年，基本拔除浮梁县疫情，实现乡（镇）级疫点数量为零，力争不发生新的疫情。全县主要林业有害生物成灾率控制在4‰以下，无公害防治率达85%以上，测报准确率达到90%以上，种苗产地检疫率达到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建设和完善森林火灾防控体系。坚持“预防为主、积极消灭”的方针，聚力生态文明建设，依托国家三期重点森林火险综合治理项目,从加大森林防火宣传力度，加强野外火源管理，落实行政一把手责任制和完善各项防控措施，提升专业和半专业及应急分队扑救森林火灾的战斗力，严厉追究火灾肇事者和相关责任人的责任五个方面入手，建立和完善森林火灾防控体系。达到全县不出现森林火灾频发和不发生重特大森林火灾，将受害面积控制在5‰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水土流失治理。进一步加强水土保持和生态环境建设相结合，实施重点流域水环境综合整治工程，开展浮梁县饮用水源地保护工程建设、浮梁县水环境监测站网工程建设、饮用水保护区水污染预警应急体系和管理体系建设等工作，开展西河流域治理工程建设，开展浮梁镇等十二条小流域治理工程的建设、水生态文明村、镇等工程建设。确保昌江河浮梁段饮用水水质符合国家Ⅲ类水质标准，城镇集中式饮用水水源地水质达标率达到100%。在水源保护区内，继续实行退耕还林、封山育林政策，减少水土流失，保护好水生生物。全面落实流域生态补偿机制，充分调动保护生态环境的积极性。积极推进“河长制”，全面履行河湖保护责任，建立水陆共治、部门联治、全民群治的河湖保护管理长效机制，加强水管理，保护水资源，防治水污染，维护水生态，保障县域内河湖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切实抓好工业污染治理。继续坚持“以新带老”原则，实行排污许可证制度，做好重点行业污染源排污口的规范整治，逐步实现排污口在线监测，减少污染物排放。支持绿色清洁生产，推进传统制造业绿色改造，鼓励企业工艺技术装备更新改造。大力推行清洁生产，积极推行ISO14000环境管理体系认证，完善污染防治设施“管理规范化、监控自动化、运营市场化”的“三化”管理机制，实行“环保部门、新闻媒体、综合部门”联合行动的“三位一体”执法运作模式，大力营造环保执法氛围，严肃查处环境违法行为，淘汰污染严重的落后产品，巩固和扩大达标排放的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危险废物和生活垃圾治理。实行危险废物集中控制，提高综合利用水平，实现危险废物减量化、无害化和资源化，做好固体废弃物处理管理和综合利用，实现垃圾分类收集和资源综合利用，安全处置医疗垃圾、放射性废物和危险废弃物。到“十三五”末，危险废物、医疗废物得到安全处理；建设高标准生活垃圾无害化处置场，实行生活垃圾分类回收，提高生活垃圾资源综合利用率，城镇生活垃圾无害处置率达到90%左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水污染治理。加强水资源保护，突出做好城乡饮用水源地保护和污染防治。加大污染处理力度，严格工业废水处理和排放管理，逐步实现城镇雨污分流，逐步实现全县工业污水、城镇生活污水集中处理和利用。建立健全排污总量控制、排污许可、水质监测、过量开采惩罚一系列水资源保护制度，全县主要水功能区全部达到对应的水质控制目标。在城镇集中供水区依法划定饮用水源一级和二级保护区，制定饮用水源安全监控、预警制度和污染突发事件应急预案，启动水污染处理Ⅱ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大气等污染治理。加强大气污染综合防治，严格控制废气排放，强化废气处理，推进各类燃料、汽车尾气的环保处理，实施环境空气质量定期预报制。推行建设领域无尘化、无害化管理。加强工矿企业，建筑土地、社会生活噪声控制和治理。完成水泥行业的治理，对未达到排放标准的企业实行关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第三节大力发展绿色经济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大能源消费、耕地、水资源等消费总量控制，优化土地资源、水资源、能源结构，提升利用效率。淘汰高消耗、高污染、高排放“三高”产业，加快建设国家城市矿产示范基地，提升废旧物资加工利用水平；着力改造生产流程、优化生产工艺，推进重点行业、重点企业循环经济发展；着力推进废旧资源及工业废渣、废水、废气和余热再利用，提高工业“三废”综合利用水平。引导新能源产业良性循环发展，大力发展新能源、清洁能源等。结合生态建设与创新驱动，大力发展循环经济、绿色低碳经济，通过发展高附加值的新兴绿色低碳产业，实现生态建设与经济建设相统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资源综合利用。实施全民节能行动计划，提高节能、节水、节地、节材、节矿标准，开展能效、水效领跑者引领行动。实施循环发展引领计划，推行企业循环式生产、产业循环式组合、园区循环式改造，减少单位产出物质消耗。推进废旧资源以及工业废渣、废水、废气再利用。强化工业固体废物的源头控制，优先采用资源利用率高，固体废物生产量小的技术和工艺，促进固体废物在企业内部和企业间的综合利用。实现固体废物减量化、资源化、无害化，重点提高粉煤灰、煤渣、煤矸石等固体废物综合利用率和危险物的处置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推进农村循环经济发展。大力普及猪沼果、猪沼菜，发展以沼气为纽带的猪沼果等模式的生态农业，合理布局畜禽禁养区、抚养区、适养区，搬迁和关闭位于水源保护区、城镇居民区等人口集中地区的畜禽养殖场，引导畜禽养殖业向畜粪尿消纳土地相对充足的农村转移，推进畜禽养殖业清洁生产，走生态养殖道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推动林下经济。以我县丰富的森林资源为依托，以科技为支撑，发展林下种植、林下养殖、林下产品采集加工、森林景观利用等产业，实现农、林、牧资源共享，优势互补，循环发展的立体复合种养模式，开发富有地方特色的森林食品、森林蔬菜、茶叶、果品、药材等森林旅游商品。力争“十三五”期间，林业专业合作组织达200家，林下经济发展面积达60万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推广使用清洁能源。推进能源革命，加快能源技术创新，建设清洁低碳、安全高效的现代能源体系。大力推广风能、太阳能、生物能等可再生资源，加快发展清洁能源，力争到“十三五”末非化石能源占一次能源比重逐年提高。加快水利和风力资源开发和农村沼气建设，使我县在绿色能源及生态保护方面有一个重大突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推广使用天然气和液化气。加大天然气和液化气的利用，尤其是在广大农村的普及利用，启动天然气下乡惠民工程、绿色工程。“十三五”期间淘汰工业煤气使用，天然气和液化气在一次性能源消费结构中的比重达到10%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第四节推进生态社会建设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建设生态文明美丽浮梁，加强生态文化建设。加强生态文明社会建设宣传力度，树立尊重自然、顺应自然、保护自然的生态文明理念，调动全社会参与生态文明建设的积极性，融入经济建设、政治建设、文化建设、社会建设各方面和全过程。努力建设生态浮梁，积极开展生态文明示范县和生态乡镇村创建活动。强化生态文明建设的区域合作。建立完善生态管治制度，实施环境保护网格化监管，把生态文明建设纳入法治化、制度化轨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第四章推进城乡融合，建设“宜居浮梁”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第一节打造山水园林县城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以创建国家生态园林县城为抓手，做到科学规划，注重功能分工，凸显浮梁特色，把县城真正建设成为宜居宜游的瓷都后花园。要不断完善县城规划，凸显“城在园中、园在城中”和宜居、休闲、旅游特色。提升城市建设和管理水平，打通县城对外及内部循环通道，拓展城市发展空间；完善城区功能，推进城区绿化、美化和主干道“黑色化”工程建设，打造城市靓点；加大县城环境综合治理力度，重点整治脏、乱、差，乱停乱放等城市管理中暴露出来的问题；坚决遏制“两违”现象；规范房地产秩序，提升物业管理水平，积极化解房地产库存压力，促进房地产业持续平稳健康发展。在“十三五”期间进入国家级园林城市行列，县城常住人口达到8万人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围绕“一城三组团”的发展格局，以16平方公里规划为基础，继续拉开城市构架，打通城市干道，集中建设新区，拓展发展空间，完善基础配套设施，增加县城常住人口，建设美化、亮化、绿化、硬化的文明县城。推动绿色城镇建设，加强城镇滨水地区的生态环境综合治理，实施城镇节能减排行动、城镇节水行动，按照创建国家生态园林城市要求，不断提升城市品位，强化城市管理，做活城市经营。把县城建设成为集旅游、休闲、度假、居住、美食功能为一体的具有文化和生态特色的山水园林城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第二节建设和谐秀美乡村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以推进新农村建设和生态文明建设为抓手，科学规划乡镇村庄布局，完善农村基层设施建设，提升农村环境质量，构建和谐农村生态文化体系，打造“宜居、宜业、宜游”的美丽乡村。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科学规划乡镇村庄布局。按照因地制宜、切实可行的原则，尊重村民意愿，体现地方和农村特色，结合农村、国有林场、垦区危旧房改造，科学规划乡镇村庄，合理安排乡镇建设、村落分布、产业聚集、农田保护、生态涵养等空间布局，统筹农村生产生活服务设施和公共事业建设，支持有条件地区做好规划设计，形成生活便利、清洁卫生、防灾抗灾能力强的新农村建设新格局。加强古村落和古民居保护与开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快农村基础设施建设。继续加大农村水利基本建设，加快中、小型灌区和中小河流改造工程建设步伐，健全农业气象服务体系，增强粮食生产灾害防御能力，开展抗旱水源工程建设和农村饮水提质增效工程建设。实施新一轮农村电网升级改造工程，加大农村电网基础设施建设力度，保障农村用电安全。大力发展沼气、秸秆利用、小水电等可再生能源，形成清洁、经济的农村能源体系。完善农村公路网络，实施渡改桥工程，新建一批乡镇客运站和候车亭。加强农业综合服务站基础设施建设，完善和提高农业公益性服务体系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提升农村环境质量。深入推进“净空、净水、净土”行动，开展人居环境综合整治，实施集水源地保护、污水处理、垃圾管理为一体的农村清洁工程，逐步实现垃圾、污水处理城乡一体化。全面推进“户分类、村收集、镇转运、县处理”垃圾集中处理的模式，确保农村生活垃圾及时清运、及时处理，有效改善农村环境。清除农村露天粪坑、简易茅厕、废杂间，整治和规范生活污水排放，全面推行无害化卫生厕所。积极开展农村水环境治理，提高水体自我净化能力。开展创建森林乡镇和森林村庄活动，净化、美化、绿化村容村貌，初步构建农田林网体系，形成“村在林中、林在村中”的农村生态美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构建和谐农村生态文化体系。按照“乡风文明身心美”的要求，以提高农民群众生态文明素养、形成农村生态文明新风尚为目标，增强村民的可持续发展观念，构建和谐的农村生态文化体系。培养有文化、讲道德、守法纪、懂技术、会经营的新型农民。深入开展道德、法律、文化、科普“四进农家”活动。充分利用各类宣传工具和形式，利用一切文化阵地，大张旗鼓地开展形式多样生态文明、生育文化知识宣传，形成农村生态文明新风尚。全面推行村务公开制度，积极推行以村党组织为核心和民主选举法制化、民主决策程序化、民主管理规范化、民主监督制度化为内容的农村“四化一核心”工作机制，合理调节农村利益关系，有序引导农民合理诉求，有效化解农村矛盾纠纷，维护农村社会和谐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第三节完善城乡基础设施建设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坚持“统筹规划、合理布局、量力而行、适度超前”的原则，进一步加大投资力度，推进交通、能源、电力、水利、信息等基础设施建设，使基础设施保障能力与经济发展水平相适应。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建设现代综合交通网络。按照客运快速化、货运物流化的要求、优化交通结构，加强各种运输方式相互衔接和协调发展，发挥组合效率和整体优势，建设快速便捷的立体交通网络，全面提升综合交通能力。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专栏4-1浮梁“十三五”交通规划布局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城市道路方面。以城镇主干道改造与新建为重点，完善城市道路系统，提升城市道路等级。重点建设县城建设大道、县城西城区道路、红塔路与县衙路连接线道路、红塔路至名坊园路连接线公路、新港大道（新平至王港）；改建提升房管局至古县衙段、洪源景盛大道、县城－三龙、朝阳大道、新昌路、滨江路；提升古县衙至浯溪口道路，完善湘官公路,建设湘湖滨江路，缓解景德镇东大门交通压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公路方面。以县道改造为公路建设的重点，辅以乡道升级与村道改建，提升公路网等级，完善公路网结构。加大农村公交化推进力度。重点建设县道勒功—诰峰、西湖—西溪、鹅湖—潘村、北安—荞麦岭、先锋—石岭、港口—梓里、三龙—湘湖、御史亭—沽演、桃岭—采育林场、洪源—牡丹台、蛟潭—胡宅、丰旺—三宝国际陶艺村、江村—塔前、经公桥—清溪林场、东流—董家山、浯溪口库区公路（82公里，流口大桥、红旗大桥、龙坂大桥、营里大桥、峙滩大桥、上屋大桥）及旅游、战备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铁路及高速公路方面。全力配合推进九景衢铁路、皖赣铁路复线、绕城高速公路建设，构筑“双十字”的陆路交通大格局。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增强能源保障能力。坚持节能优先、煤为基础、多点发展、合理布局、保障安全，积极推广太阳能综合利用，推广空气能、地热能、沼气等新能源。加快完善城乡电网建设，推进新一轮电网改造，解决城区及乡镇配电网薄弱的问题；改善地区网架结构，全面提高供电能力与供电水平，满足地区电源接入需要和重点工业园区发展用电需求，提升地区光伏发电接纳能力，优化电力保障。完善全市天然气管网建设，加快天然气管网向工业园区、乡镇延伸，提高天然气利用水平。依托新能源汽车迅猛发展态势，完善相关配套设施，加大充电桩建设力度，扩大覆盖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专栏4-2浮梁“十三五”能源保障体系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煤炭方面。加强煤炭资源勘探，加大矿井改造力度，淘汰落后生产方式，有序开发新矿井，稳定煤炭产量。力争全县确保原煤产量稳中有升。强化以电力为中心的能源建设，积极开发利用新能源和可再生能源。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电力方面。加大电力建设步伐。根据供电需求和工业发展相配套，增容扩建一批变电站，重点实施农村电网新建改造工程。在“十三五”期间，新建鹅湖110kV输变电工程、荞麦岭110kV变电站2#主变扩建工程、教场110kV输变电工程、宝石110kV变电站2#主变扩建工程、高家墩110kV变电站2#主变扩建工程、储田110kV变电站#2主变扩建工程；编制电网规划（含变电站及输电线路）改扩建大石口110kV变电站#1主变改造工程、全县35kV及以下电网改造升级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水电工程方面。加快农村水电工程建设步伐，重点实施水电新农村电气化县项目和小水电的增效扩容改造项目建设。在“十三五”期间，实施农村电气化项目24座，其中新建和改造电水站均为12座，实施农村水电增效扩容水电站3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巩固和加强水利气象基础设施建设。1、加强防洪治涝体系建设。继续加大中小河流综合整治工程建设，开展病险水闸除险加固工程和治涝工程建设，完善全县山洪灾害防洪工程建设，实施山塘整治工程建设，城市防洪工程等项目，提高全县综合防洪和治涝标准。在“十三五”期间，重点建设项目为：浮梁县城防洪工程，西河、东河小北港河道治理工程，浮梁县治涝工程，病险水闸除险加固工程等项目。2、加强抗旱减灾体系建设。坚持全面规划，城乡统筹，以防为主，防抗结合；坚持开源、节流和保护并重，充分调动各方面的积极性，加强抗旱设施建设。3、建立气象灾害预警系统，完善公共气象服务体系建设。在“十三五”期间，重点建设的项目为：新建郑寿前小Ⅱ型水库、三龙芦田村和湘湖玉田水库人工影响天气标准化作业点；扩建樟坑、刘家坞小Ⅱ型水库；扩建39座山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快“智慧浮梁”建设。加快信息技术在经济社会各领域的普及应用，提高经济社会运行质量和效率。实行重点突破，以点带面，全面推进，加速政务信息化、企业信息化、公共服务信息化。1、加强信息化基础工程建设。加快3S、4G、城市网格、网络通信、智能控制、云计算、大数据、物联网等信息技术创新和应用，推动移动互联网升级、宽带互联网扩容、“三网融合”，提升信息基础设施集约化水平和信息化协同共享水平。加快宽带信息网“最后一公里”建设，向企业、家庭、学校和其他公共部门延伸。努力扩大信息网络在农村的覆盖面，实现全县自然村通电话和宽带。积极推进新一代互联网工程，基本实现网络数字化、宽带化和智能化。加快广播电视数字化，大力推进有线电视数字化整体平移，增强信息交换和互联网接入功能。继续提高固定电话、移动电话普及率，不断扩展服务内容，加强全县网络监控系统建设。2、加快政务信息化。完善全县政务信息网，建成县直各部门门户网站，提高政务公开、网上办事和便民服务水平。重点建设全县电子政务统一应用平台以及人口管理、法人单位、空间地理、自然资源、法律法规和宏观经济数据库。积极有序推进金字系列信息系统建设，实现我县与国家、省、市电子政务网络互联、信息共享、业务协同。3、加快企业信息化。推广网上贸易洽谈、网上采购、网上交易和网上支付，发展以电子商务为纽带的现代化物流业。开展中小企业信息化重点示范工程建设，推广面向消费者的电子商务应用，创新服务模式。4、加快公共服务信息化。大力提升农业信息服务能力，加快推进信息进村入户，以多种传媒网络与多终端为基础，建设农村信息网络，提高农情、农资、市场信息和灾情预报服务水平。推动一批信息化应用示范项目，建成一批成熟的智慧应用系统，形成一定规模的智慧产业；建设信息技术高度集成、信息应用深度整合的网络化、信息化和智能化城市。加快推进信息惠民、“智慧无线浮梁”、智慧安全、城市公共信息平台、城市公共基础数据库、“信用浮梁”社会信用数据库平台等项目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第五章统筹各项社会事业发展，建设“幸福浮梁”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第一节传导正确的价值取向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以社会主义核心价值体系为指导，以培育具有时代特征、浮梁特色的人文精神为核心，加强社会主义精神文明建设。深入推进社会公德、职业道德、家庭美德、个人品德建设，不断拓展群众性精神文明创建活动，广泛开展志愿服务。净化社会文化环境，保护青少年身心健康。综合运用教育、法律、行政、舆论手段，引导人们知荣辱、讲正气、尽义务，形成扶正祛邪、惩恶扬善的社会风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把社会主义核心价值融入到精神文明建设各个方面、贯穿于经济社会发展全过程，加强公民思想道德建设，弘扬中华传统美德和时代新风，使社会主义核心价值观内化为人们的坚定信念、外化为自觉行动，努力在全社会形成共同的理想信念、强大的精神支柱和基本的道德规范。牢牢把握正确的舆论导向，实施网络内容建设工程，不断传播正能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坚持关注民生，以政府为主导，加大公益性文化事业投入力度，进一步完善公共图书馆、群艺馆、美术馆、博物馆等文化设施，进一步提高公共文化服务能力，进一步推动广播电视、新闻出版业发展，建成覆盖城乡的公共文化服务体系。坚持面向基层、服务群众，推动文化资源向基层和农村倾斜，继续推动公共文化服务设施向社会免费开放，广泛开展群众性和公益性文化惠民活动，引导群众在文化建设中自我表现、自我教育、自我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以创建全国文明县城为抓手，广泛开展文明社区、文明村镇、文明行业、文明单位、文明家庭等各类群众性精神文明创建活动，大力推进学习型社会建设，全面提高市民现代文明素质和城乡整体文明程度。全面落实全民健身计划，全力办好省运会。以陶瓷为元素，与一带一路相契合，策划并扶持一批优秀文化作品的创作与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第二节大力推进精准扶贫工作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逐级立下“军令状”,层层落实脱贫攻坚责任。扶贫工作重心转向“全面扶贫、深化扶贫”上，抢抓国家、省里加大扶贫投入的机遇，大力实施“五个一批”工程，即发展生产脱贫一批、异地搬迁脱贫一批、生态补偿脱贫一批、发展教育脱贫一批、社会保障兜底一批，确保按期完成脱贫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大力推进精准扶贫工作。做好精准识别，详细调查分析贫困人口贫困状况，建立完善贫困户电子档案。实施精准帮扶，建立贫困户结对帮扶机制，分类指导，因户施策，落实扶贫到村到户措施，变大水满灌为精准滴灌。实行精准管理，引导各类扶贫资源优化配置，构建精准扶贫工作长效机制。创新扶贫开发模式，积极实施搬迁扶贫、金融扶贫、光伏扶贫、电商扶贫、教育扶贫、健康扶贫，变“输血式”扶贫为“造血式”扶贫，确保真扶贫、扶真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扎实推进产业扶贫工作。发展农业特色优势产业项目和高效农业项目优先向贫困户倾斜。发动贫困户发展特色种植项目，增加经济收入。鼓励和培育新型农村合作组织（家庭农场、专业大户和农民合作社），通过农村合作组织的示范带动，提高贫困户在产业发展中的组织程度。扶持农业产业化龙头企业发展，发挥龙头企业带动作用，探索企业与贫困农户建立利益联结机制，促进贫困农户稳步增收。加快农产品加工和市场营销体系建设，打造浮梁特色品牌，完善流通网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稳步推进就业扶贫工作。以精准扶贫为契机，深入实施新型职业农民培训和“雨露计划”，对参加转移就业技能培训的贫困户进行补助，提升贫困户家庭劳动力就业技能。大力实施“金蓝领工程”，开展订单式免费技能培训，并在培训期间给予一定的补助，使每个贫困家庭至少有1人掌握1-2项职业技能，促进贫困户对象就业。积极探索政府购买公益性岗位就业扶贫方式，用于扶持贫困户就业。通过政府向社会力量购买服务的方式，免费为贫困户提供职业介绍、职业指导、就业信息等就业服务。对成功介绍贫困户就业的中介服务机构进行一定的补贴。鼓励能人创业扶贫，带动贫困对象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抓好扶贫示范带动工作。以增加农民收入为核心，围绕特色优势产业发展，突出“一乡一业、一村一品”布局，因地施策，加大资金，集中投入，高标准规划、高起点建设，打造亮点，示范带动，在产业扶贫增加收入上作示范，在生态建设上作示范，在改变生产生活条件上作示范，在改善人居环境上作示范，在社会事业发展上作示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第三节实施人才优先战略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推进人才发展体制改革和政策创新，在全社会大兴识才爱才敬才用才之风。建立健全人才引进柔性机制，加大对农业产业化发展、学术科技研究、经营管理等方面优秀人才的引进，为县域经济发展提供人才支撑。定期组织杰出青年带头人、技能大师、行业领军人才等评选活动，培养和组建一支高技能人才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加大人才培养力度。加强党政人才、企业经营管理人才、专业技术人才队伍建设，抓紧培养专业化高技能人才、农村实用人才，力争到2020年人才总量达到5万人，重点领域形成人才比较优势。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专栏5-1浮梁“十三五”人才培养规划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党政人才方面。建设一支能够担当重任、经得起风浪考验的高素质党政领导人才队伍。到2020年，县直单位、乡镇党政领导班子要形成以35岁左右干部为主体梯次构成的年龄结构，大学本科以上文化程度的比例分别达到70%和60%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企业经营管理人才方面。培养有战略眼光、市场驾驭能力强的企业家和熟悉市场竞争规则、善于企业经营管理的职业经理人。到2020年，全县企业经营管理人才总量突破2万人。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专业技术人才方面。加快培养科技研发人才、工程技术人才、兼备经营和科技的复合型人才。到2020年，专业技术人才达到20000人，中高层次人才比重达到70%以上。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高技能人才方面。大力加强职业技能培训，以技师、高级技师为重点，加快培养掌握现代制造技术、技术精湛的人才。“十三五”期间新增技师1500人，高级技师400人。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农村实用人才方面。加强农村企业经营管理人员、农民技术人员、种养能手、能工巧匠的培养。力争我县农村实用人才在“十三五”期间新增7500人。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人才引进。实施积极的人才引进政策，大力引进高层次人才和紧缺人才。进一步完善人才、智力、项目相结合的柔性引进机制。鼓励企事业单位采取咨询、讲学、兼职、短期聘用、技术合作、人才租赁等方式灵活引进国内外人才智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专栏5-2浮梁“十三五”人才引进计划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1.国家和省级有突出贡献的中青年专家、博士、高级职称以及获得省级以上科学技术奖的高层次人才；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2.在高新技术领域有较高造诣的专业技术人才，包括高级技术工人；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3.熟悉国际经贸规则和经济运作的复合型外贸人才；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4.企业优秀经营管理人才和市场营销、旅游、策划管理人才；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5.金融、保险、法律、外语、教育、卫生、文化艺术和现代管理等方面的优秀人才。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完善用人机制。坚持党管人才原则，建立主要由市场配置人才资源、单位自主用人、人才自主择业、政府依法监管的人才管理机制，加强高级人才的信息管理，积极完善人才代理制度。深化党政干部选拔任用制度改革，坚持公开选拔和竞争上岗选拔领导干部，完善公务员考录制度，建立公开、平等、竞争、择优的用人机制。深化企事业单位人事制度改革，建立党政人才重在群众认可，企业经营管理人才重在市场和出资人认可，专业技术人才重在社会和业内认可的人才考核评价体系，健全技能人才的职业资格证书制度。强化人才激励机制，完善各类人才以专利、发明、技术、资金、管理等生产要素参与收入分配办法，建立技术、专利等知识产权入股制度和技术创新人员持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人才队伍建设。认真实施“新世纪百千万人才工程”，加大以高层次专业技术人才为骨干、县级主要学科和技术带头人为重点，优秀青年科技人才为基础的培养力度。重点推进社会化科技服务体系建设。争取培养具有省级水平的学科带头人8人以上。同时优化领导班子知识结构和专业结构，注重培养选拔政治强、懂专业、善治理、敢担当、作风正的领导干部，提高专业化水平，完善政绩考核评价体系和奖惩机制，调动各级干部工作积极性、主动性、创造性。继续做好县级拔尖人才的选拔和管理工作，完善选拔和管理规定，健全定期联系走访、年度考核、业绩档案、休养、体检、奖励等制度，进一步改善科研工作条件，在科研立项、配备学术梯队、提供流动资金、学术交流、帮助实现成果转化等方面实行政策倾斜，并在选拔县级拔尖人才工作的基础上，做好推荐享受国家、省政府、市政府特殊津贴和有突出贡献的中青年专家工作。建立完善战略领域高层次人才库；同时加大对高层次人才的培训力度，从政策与资金上给予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第四节推进大众创业、万众创新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大力培育创业文化，弘扬创业精神，激活全民的创业激情，增强广大人民群众自主创业的积极性和能力，在全社会努力形成人人思创业、谋创业、敢创业、善创业、发愤创业的浓厚氛围。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培育创业主体。一是鼓励浮梁籍在外成功商务人士、专业技术人才和务工人员积极返乡创业。二是鼓励机关事业单位工作人员经过批准参与创业。三是鼓励大中专毕业生、复退军人、残疾人员、社区矫正人员及其他就业困难人员自主自立自强开展创业。四是鼓励农民积极投身创业。五是鼓励外来投资者来我县投资兴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搭建创业平台。全力加快工业集中区建设步伐，努力推动优势企业、优势产业向集中区集聚发展，尽快打造成百亿工业集中区。在新老城区和正在开发的城北规划和培育各类小微型企业（含特定项目、特定区域）集中区和农民工返乡创业孵化园。在各乡镇集镇所在地或乡镇的交接地带规划和培育具有本土特色的创业小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降低创业门槛。一是放宽创业领域限制，凡是法律、法规没有明确禁止进入的行业和领域，都鼓励和支持民间资本与外资进入。二是放宽经营场所限制。在符合规划、环保、安全生产等规定情况下，允许企业、个体工商户以家庭住所、临时商业用房作为经营场所进行工商登记。三是放宽经营范围限制。凡是国家没有明令禁止的经营范围，对民营企业和个体工商户全部放开。四是放宽企业冠名限制。投资主体可不受注册资本规模和组织形式的限制，自行选择冠名“浮梁县”字样的规范性企业名称。五是放宽市场主体资格确认条件限制。投资人申请企业登记，涉及须经审批的经营项目，可先行确认市场主体资格，取得营业执照，待完成审批后，再办理增加审批项目的变更登记。原企业已经取得的在有效期内的专项行政许可事项，改制存续企业可延续使用，申请登记时不再重新办理。六是放宽项目审批管理限制。对法律法规不禁止、政府不投资、符合国家产业政策和行政许可权限内的民营企业基本建设、技术改造和科技开发项目等，均实行项目核准和备案管理，在办理备案事项时一律不再向企业收取或变相收取任何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制定优惠政策。出台浮梁工业集中区招商引资优惠政策，浮梁生态创业园发展优惠政策，全民创业普惠性的各项规费减免、贷款贴息、信贷和财政支持等扶持政策。对重点项目、重点企业和重点区域实行“一事一议”和“一对一”跟踪服务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推动全民创业。积极响应中央“大众创业，万众创新”精神，结合我县特点和优势，将草根创业与小城镇建设相结合，打破小城镇居民沿国道、公路建房的发展思路，政府以扶持小工业的形势，支持草根创业，形成浮梁草根创业园，以类似于陶瓷工业园区民坊园项目的形式，由草根签约加入，统一建设模式，将浮梁原生态茶叶、竹笋、香菇等土特产进行精深加工，增加原生态产品附加值，利用“互联网+”平台，由小加工业形成原生态产品产业链，促进小城镇的就业与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第五节加快发展教体事业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合理配置和充分利用教育资源，促进各级各类教育协调发展，构建现代国民教育体系和终身学习体系，建设学习型社会。提高教师教学水平和创新能力，建设现代职业教育体系，对职业学校则推进产教融合、校企合作。加快普及学前教育，推进义务教育均衡发展，促进高中教育特色发展，大力发展职业教育、各类成人教育、社区教育和现代远程教育，重视特殊教育，发展民办教育。大力推进教育创新，全面实施素质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快普及学前教育。把发展学前教育纳入城镇、社会主义新农村建设规划，大力发展公办幼儿园，积极扶持民办幼儿园，重点发展农村学前教育，努力提高学前教育普及程度。建立幼儿教育经费投入保障机制，不断改善办园条件。在“十三五”期间规划新建1所县城省级中心示范幼儿园，在全县各乡镇新建21所幼儿园。到2020年，学前一年教育入园率达到100%，学前三年教育入学率达到90%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均衡发展义务教育。实行义务教育免试就近入学，解决好留守儿童和进城务工农民子女义务教育问题，关心和重视特殊教育，推进县域内义务教育高质量的均衡发展。加大农村教育投入，进一步改善农村办学条件，组建一贯制学校1所；搬迁重建学校2所；改扩建学校10所；建设塑胶运动场24个；建设教师周转房600套。增加城区教育资源，建成县第三小学，规划建设1所初级中学。实施好教育信息化建设工程。到2020年，全县适龄儿童入学率达100%,小学毕业生升初中比例达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优质发展高中教育。继续支持省级重点高中县一中建设，整合全县普高教育资源，新建1所高中，优化资源配置，提高普通中学办学效益。全面实施高中学业水平考试和综合素质评价，坚持多元评价和择优录取相结合。大力推进学校办学模式、育人方式多样化、个性化，注重满足不同潜质学生的发展需要，形成办学特色。普及高中阶段教育，逐步分类推进中等职业教育免除学杂费，率先从建档立卡的家庭经济困难学生实施普通高中免除学杂费。到2020年，高中毛入学率达到92%，全县高中阶段在校生达到5000人左右，教育教学质量逐步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大力发展职业教育。根据县域经济社会产业结构，合理调整中等职业学校专业设置，不断增强职业教育的吸引力。启动实施职教、成教资源整合，实现教育资源共享和设施共用。实施农科教结合工程，各乡（镇）、村要积极利用当地中小学信息化资源，广泛开展各级各类职业培训，拓展职业培训范围，增强职业培训的实用性。到2020年，职校在校生达1500人；完成职工岗位培训、农技培训等各类专业培训3万人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教师队伍建设。加快城乡义务教育公办学校标准化建设，加强教师队伍特别是乡村教师队伍建设，推进城乡教师交流。加强教师职业理想和职业道德教育，增强广大教师的责任感和使命感。完善教师管理制度，认真贯彻《乡村教师支持计划（2015－2020年）》，制订农村边远地区倾斜政策。每年为城乡中小学招聘一批教师，解决城乡学校教师专业、学科、年龄结构失衡问题，满足幼儿园、村小及教学点实际教学需求。深入实施“一师一优课，一课一名师”工程，实施名师工程，充分发挥特级教师、学科带头人、教学能手等骨干教师的示范、引领、辐射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第六节增强科技创新能力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强化企业创新主体地位和主导作用，推进科技创新与产业链、资金链有机衔接，促进科技与经济深度融合、创新成果与产业紧密对接，力争在电子信息、茶产品深度开发、生态农业、生态保护等领域，实现关键技术研发和转化，全面提升科技创新对经济增长和产业升级的贡献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快科技事业发展。坚持合作创新、加强转化、重点突破、引领跨越，紧紧围绕农产品（茶产业）加工业、畜禽养殖基地建设、特色经果林建设等项目，着力实施一批省、市、县重大科技专项，加强科技服务，增强科技对产业发展的支撑能力。加快农业科技示范园建设，进一步提高科技支撑作用。以解决优势资源开发和优势产业发展的关键技术为重点,形成“政府引导、企业为主、社会融资”的多元化科技投融资体制；建立健全鼓励和扶持科技人员兴办科技企业的政策体系，支持科技人员创业。建立财政科技投入稳定增长的机制，提高应用技术研究投入比例，引导和支持企业增加科技研发和创新投入。到2020年，县财政投入科技专项资金稳步提高，全社会研究和科技投入占财政经常性支出的1%以上，科技进步贡献率达到45%以上。加快农业科技进步，主要农作物良种覆盖率达99%以上，主要农作物品种3-5年更新换代一次。实施科技惠民工程，发展行业协会、合作社，推进示范点、示范户、示范片建设。建成12个农业科普示范基地、建立12个科普示范村；创建6个科普示范乡镇。形成一批具有技术优势和规模优势的名牌产品，培育发展一批科技创新企业，推动产业技术升级，提升工业、农业竞争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推进企业技术进步。围绕资源开发、资源深加工、产业集聚升级、技术进步，依托现有工业企业，积极引进跨国公司、省内外国有大企业、有实力的民营企业参与我县国有企业结构调整，整合现有产业资源，对原材料和能源、闲置厂房及土地等要素、上下游产品和市场渠道等环节进行组合，以重大项目建设为突破点，通过合资合作、兼并重组、产业延伸、协作配套等多种手段和途径，推进企业组织结构调整，发展壮大一批销售收入超过亿元的企业，积极培育一批成长性好、带动力强、关联度大的骨干龙头企业，壮大我县工业的骨干力量。到2020年，力争年销售收入超亿元的大企业大集团达到3户以上。以提高科技创新能力和竞争力为目标，不断增强企业的技术创新能力。重点组织攻关和研发，加大国内外先进技术和适用技术的引进、消化、吸收和推广，大力推进科技创新和科技成果转化，积极引进和培育发展一批有自主知识产权和专利的企业。确立企业科技创新和投入的主体地位，大力引进科技型企业和高新技术产业项目，鼓励企业引进和应用国内外先进技术和设备。积极制定、完善和认真落实促进科技进步的政策措施，建立和完善企业科技创新的激励机制、风险投资机制，努力营造有利于企业技术创新的环境。进一步贯彻落实国家鼓励企业加大技术创新投入的税收优惠政策，在国家政策允许的范围内，对技术创新、产学研合作、高新技术产业化项目和民营科技企业的培育发展以及国家级新产品和经省、市认定的新技术、新产品给予扶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积极鼓励自主创新。完善促进自主创新的体制机制。强化企业技术创新主体地位，增强企业技术开发能力和自主创新能力，形成开放型、多层次有机结合的技术创新格局。利用创新技术改造提升传统工业，组建1-2个有较强竞争力茶企业集团，使其技术装备和工艺达到国内先进水平。推动资源、环境领域的技术创新。开展产品深加工和可持续发展研究。开展茶叶材标准化种植、科学管理和加工等方面的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第七节促进文化事业繁荣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围绕“文化生态大县”的战略定位，强化基层、夯实基础、加大投入、健全网络、深化改革，创新文化事业健康发展的体制和机制，不断丰富人民群众文化生活，促进农村文化、文化市场管理、文物开发保护、广播电视事业取得新进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丰富人民群众文化生活。深化文化体制改革，调整优化文化资源配置，完善文化产业政策，健全文化市场体系，大力发展文化经济。加大对公益性文化事业、设施的投入，构建现代公共文化服务体系。加强社区、企业、校园和乡村文化建设，活跃基层文化生活。加快现代化文化设施建设，有效保护和重点开发一批历史文物、文化遗产，深入挖掘民间文化资源。整顿和规范文化市场秩序，营造扶持健康文化、抵制腐朽文化的社会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大力发展农村文化。加强集镇文化建设，积极挖掘和整理民俗文化、民间艺术资源，建设“一乡一品”农村特色文化；完善乡镇综合文化站基础设施及配套设施建设；巩固、重视农村文化阵地建设，实施文化扶贫政策，充分发挥文化站、广播电视站等文化阵地的作用；重视少儿、老年文化事业，解决儿童文化生活贫乏问题，丰富老年文化生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强文化市场管理。坚持一手抓繁荣，一手抓管理，进一步理顺和健全文化市场管理体制；加大文化执法力度，加强信息网络管理，维护合法经营，保护知识产权，净化文化环境。合理规划出娱乐一条街，并非零散分布在居民区，影响居民的生活。创建县城餐饮服务示范街，通过综合治理使朝阳中大道无小型餐饮服务单位。用健康、有益的文化占领文化阵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大文物保护力度。贯彻执行《文物保护法》，认真落实文物保护“五纳入”的文物工作方针，巩固文物普查成果，公布一批新的文物保护单位，继续做好文物保护普及申报工作。“十三五”期间，加大文物和古村落保护力度，努力增加全县国保、省保单位数量，加强“文化三馆”的建设。名胜古迹中，宋代红塔、浮梁古县衙、高岭古矿遗址、东埠古街等省级重点保护单位及相关历史地区，应加大资金投资，与文化旅游、商业服务业相结合；通过规划布局、社会创新性管理，加大对文物保护的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提升传媒事业水平。进一步加大投入，加大基础设施建设，完善配套功能，提升浮梁广播电视事业水平，进一步巩固和提高收视率和覆盖率。加强网上思想文化阵地建设，发展积极向上的网络文化，推动传统媒体和新兴媒体融合发展，加快媒体数字化建设，为浮梁打造一批新型媒体。建立健全县、乡、村应急广播仿真平台，搭建多种广电传输通道组成的应急预警信息末端综合覆盖网，满足应急预警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第八节提升医疗服务水平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按照保基本、强基层、建机制的要求，加大财政投入，深化医药卫生体制改革，健全覆盖城乡居民的基本医疗保障体系。积极稳妥推进公立医院改革，支持中医药事业发展，鼓励社会资本以多种形式兴办医疗机构，促进有序竞争，加强监管，满足群众多样化医疗卫生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大政府医疗卫生投入。各级政府把农村卫生事业发展纳入当地经济社会发展计划，使农村医疗卫生事业与国民经济和其他社会事业协调发展，与人民群众的健康需求相适应。按照省财政厅有关卫生补助的规定来安排卫生事业经费投入，以确保人员经费、离退休费用以及公共卫生工作的开展。建立健全覆盖城乡居民的基本医疗卫生制度，实现人人享有安全、有效、公平、可及的基本公共卫生服务和基本医疗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完善城乡医保制度。逐步缩小各类基本医保制度保障水平差异。改革医保支付方式，控制医疗费用不合理增长。调整医保支付比例，进一步完善医保综合减负、医疗救助、各类医疗互助等补充保障制度，加快推进商业医疗保险健康发展；全面推行新型农村合作医疗工作，认真制订工作方案，成立管理机构，开展宣传发动，努力筹集资金，确保覆盖率达90%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深化医药卫生体制改革。全面实施国家和县医药卫生体制改革方案。加大医疗卫生事业投入，完善公立医院管理、运行、补偿、监管等体制机制。合理确定各级医院功能定位，盘活医疗资源。深化社区卫生服务综合改革，创新和完善服务模式。逐步推进分级诊疗、社区首诊、双向转诊，提高医疗资源使用效率。乡镇卫生院积极开展社区卫生服务，改变过去“坐堂式”行医方式，以“流动诊所”形式，主动走出院门，送医送药上门，切实解决群众“看病难”问题。全面落实国家基本药物制度，逐步提高基本药物使用比例，切实解决群众“看病贵”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第九节促进人口均衡发展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坚持计划生育基本国策，全面实施一对夫妻可生育两个孩子政策。促进优生，提高出生人口素质，遏制出生人口性别比失衡趋势。积极应对人口老龄化，建立健全以居家为基础、社区为依托、机构为补充的社会化养老服务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第十节完善公共安全体系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保障社会政治安全。加强情报信息侦察工作，严密防范、坚决打击境内外敌对势力渗透颠覆破坏活动。加强意识形态领域斗争，有效抵御西方意识形态渗透和错误思潮干扰，主动占领传统媒体、新兴媒体等文化舆论阵地，掌握话语权，防止一般问题热点化、社会问题政治化。在社情民意复杂村（居）、边远村及境外非政府组织活动较多的乡镇、单位发展国安特情耳目，及时掌握报告相关信息。密切关注境外非政府组织动态，加强境外非政府组织的清理、整顿、登记工作。做好来县务工经商的少数民族群众的服务管理工作，深化严打暴恐活动专项行动。加强国家安全人民防线建设，建立情报信息报告、通报、协作配合制度，依法开展对涉及国家安全事项建设项目的审批和监督管理。开展打击“全能神”邪教组织专项行动，在邪教人员较多的村（居）建立信息员，加强对一般邪教人员的转化和管理，依法处理骨干和顽固分子。推进“无邪教创建示范工程”，扎实开展无邪教学校、村（居）、乡镇等创建活动。加强反邪教宣传和警示教育工作，巩固“一墙一窗”反邪教阵地和法制教育基地,营造全社会反邪拒邪浓厚氛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保障市场经济安全。完善政法干警挂点联系服务企业制度。依法查处非法集资、非法担保、传销、逃税骗税、商业贿赂、欺行霸市、侵犯知识产权以及土地出让、建筑市场、矿产开发、产权交易等领域的不法行为。主动排查经济金融风险，保持对非正常资金集中流向高度警惕，实行全程监测，做到早发现、早预警。妥善处理涉企案件，严肃查处侵害企业合法权益行为，开展对影响招商引资、重点工程建设、城区发展的违法行为集中整治，严厉打击阻挠企业开工建设、干扰企业正常运转的不法行为，严肃查处打击向企业吃拿卡要、索取摊派办案费用、投资入股、插手经济纠纷以及在办理涉企案件和行政事务中滥用职权等违法犯罪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保障社会治安安全。创新立体化社会治安防控体系，有效防范化解管控影响社会安定的问题。开展严打专项斗争，严厉打击黑恶势力犯罪、严重暴力犯罪、多发性侵财犯罪以及个人极端违法犯罪行为，降低刑事犯罪发案率。强化对“黄赌毒”等突出治安问题的整治力度，加强社会治安重点地区整治和危爆物品管理，净化社会风气。推进治安防控体系建设，“天网”工程建设注重增点扩面、整合资源、改造升级，提升科技含量和实战能力；采取市场化运作模式，在商业网点、经营场所、集贸市场推进“地网”工程建设；严格按要求组建群防群治队伍。大力加强社会面巡逻防控，突出整体防控、重点管控，提高见警率和管事率，提升人民群众的安全感和满意度。继续推行社会治安保险，按保险合同约定的额度，兑现保险理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保障社会公共安全。健全隐患排查治理体系和安全预防控制体系，突出抓好交通、食品药品、环境、气象、消防、建筑施工、矿山、寄递、物流等重点领域，公共娱乐、学校、幼儿园、医院、商业购物等人员密集场所，公路客运、旅游景区等重点行业场所的安全监管力度，严防发生群死群伤公共灾害事故。加强企业安全生产基础建设，逐步把企业安全生产纳入法治化轨道。强化安全宣传教育，将公共安全教育纳入全县中小学的必修课程，推动安全教育全覆盖，提高全民安全防范意识和能力。制定隐患排查标准，建立隐患排查治理信息系统，落实常态化、精细化的公共安全监管机制。完善安全考核奖惩机制，坚决防止发生群死群伤灾害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第十一节健全社会保障体系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扩大社会保险覆盖面，健全社会保障体系。完善城乡居民最低生活保障制度，推进城乡最低生活保障制度统筹发展；健全和完善临时救助制度，简化救助程序，提高救助标准。继续加大保障性住房建设力度，努力实现群众“住有所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强化社会民生保障工程建设。一是加快保障房建设、棚户区改造，争取国家、江西省和景德镇市的资金和政策支持，逐年解决城镇低收入家庭的住房问题；二是推进城乡供水一体化项目建设，解决城镇居民的吃水用水问题；三是完善“救急难”制度，提高困难群众基本生活保障水平；四是加大就业创业扶持力度，统筹解决农村转移人口的落户、住房、就业和权益保障问题，维护干部职工和劳动者的社会保障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完善城乡居民社会保障制度。落实机关事业单位养老保险制度改革。完善被征地农民参加养老保险办法，实现完全失地农民参加城镇职工基本养老保险全覆盖。建立养老保险待遇的正常调整机制，逐步缩小养老金计发差距。扩大社会保险覆盖范围，健全多缴多得激励机制，引导工业园区和灵活就业人员参加社会保险。加快推进医保城乡统筹，整合城乡居民基本医疗保障管理体制。调整完善住房公积金管理制度，改进住房公积金提取、使用、监管机制。健全新型社会救助体系，推进城乡最低生活保障制度统筹发展，在试点基础上，开展好“救急难”工作。完善居家养老、社区养老、机构养老“三位一体”社会养老服务体系，出台80周岁以上高龄补贴政策。探索实施残疾人集中式安居、就业和康复，加快形成以“社会融入”为核心的新型残疾人福利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完善就业扶持和保障政策。充分发挥公益性岗位对困难群体的援助就业作用，有序开发和管理公益性岗位，推行公益性岗位实名制管理，确保人岗相符、人岗相适。积极开发大学生职业见习岗位，加快高校毕业生与用人单位实现就业对接。突出抓好新生劳动力的就业安置和园区企业招工工作。加大社保补贴工作力度，调整就业资金使用比例，确保用于社保补贴的资金达到30%。分期分批逐步对我县灵活就业困难人员（原国有企业、大集体、小集体改制下岗失业人员）落实社保补贴政策。抓好《景德镇市人力资源和社会保障系统服务企业发展的意见》的贯彻落实，搭建公共就业信息对接平台，完善用工服务网络，促进农村劳动力就近就地转移就业，缓解县内企业用工压力。结合本县特色，围绕家庭服务业、电商产业发展和园区企业用工需求开展就业创业培训，逐步采取政府购买服务方式、稳步推进就业创业培训改革试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第六章全面深化改革,激活经济内生动力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第一节扎实推进各领域改革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随着改革向纵深推进，中央和省、市先后出台的一系列改革政策措施很多都需要在“十三五”时期实质推动、集中落实。要进一步增强责任意识、问题意识、攻坚意识，区分轻重缓急、注重协同推进，上下联动、主动作为，全力打好深化改革攻坚战，推动各项改革工作不断取得新成效、新突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第二节扩大开放合作，拓展发展新空间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大力推进区域合作。加快融入“一带一路”、“长江经济带”战略规划，积极承接沿海产业和技术转移。坚持政府推动、市场导向、企业主体相结合的区域合作模式，推进与省内外各地的协作，联手开拓市场、开发资源、吸引投资，重点推进企业合作、科技交流，实现互利双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提高利用外资水平。重点引进一批带动力强、对浮梁具有长远影响的科技型、龙头型产业项目。实行项目服务责任制，提高招商引资的实际效果。组建企业化、专业化招商机构，推进产业链招商、产权招商和专业招商、以商招商。进一步加强招商引资项目策划、包装工作，加强产业政策的研究和产业转移、资本流动信息的收集，建立健全招商项目库、客商库和资源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加快发展对外贸易。实施积极的贸易鼓励政策，进一步完善外贸促进服务体系。加强外贸企业特别是加工外贸企业的出口品牌和自主研发创新能力建设，稳定茶叶、陶瓷等传统优势产品出口，延长加工贸易增值链，提高出口产品技术含量，促进对外贸易转型升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第七章加强和改善党的领导，为实现“十三五”规划目标提供坚强保证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顺利实现“十三五”规划目标，党的领导是根本政治保证。要不断加强党的领导水平和执政水平，增强拒腐防变和抵御风险的能力，提高党的创造力、凝聚力、战斗力，为我县全面建成小康社会提供坚强保证。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第一节强化党的领导核心作用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立足全县工作大局，加强法制和制度建设，实现党的领导方式规范化和制度化，更好地谋全局、把方向、管大事。完善党领导经济社会发展工作体制机制，强化全委会的决策和监督作用，切实加强党委对重大经济问题的调查研究，提高领导决策水平和组织动员协调能力；优化领导班子知识结构和专业结构，注重培养选拔政治强、懂经济、善治理、敢担当的领导干部，提高把握发展规律、领导经济社会发展的专业化水平；坚持把“连心、强基、模范”三大工程作为统领基层党建工作的重要抓手和有效载体，加大对软弱涣散党组织的整顿力度，提升非公有制经济组织党建工作质量与水平，发挥基层党组织的战斗堡垒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第二节提升政治生态建设水平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坚持全面从严治党，落实党风廉政建设主体责任和监督责任，严格贯彻执行《中国共产党廉洁自律准则》和《中国共产党纪律处分条例》，切实把纪律和规矩挺在前面；严格落实中央“八项规定”精神，认真执行“六大纪律”，坚持不懈纠正“四风”，着力解决怠政懒政、不作为乱作为等问题；深入推进巡视监督全覆盖，保持高压反腐的基本态势和战略定力，形成不敢腐、不能腐、不想腐的有效机制；创新和完善干部选拔任用机制，规范选人用人程序，改进干部考察方法，完善干部选拔任用责任追究制度，严厉整治选人用人不正之风；教育引导党员干部践行“三严三实”要求，自觉传承红色基因，弘扬“吃苦耐劳的精神”，始终保持艰苦奋斗、求真务实、清正廉洁的优良作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第三节加强社会主义政治文明建设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推进人民代表大会制度和人大工作与时俱进，支持和保证人大及其常委会依法履行职权；密切人大代表同人民群众联系，发挥代表反映民意、集中民智的作用；推进协商民主广泛多层制度化发展，支持政协围绕团结和民主两大主题履行职能，加强政治协商、民主监督、参政议政制度建设，推进“兴家风、淳民风、正社风”活动；创新群众工作方式方法，全面推行基层协商民主制度，大力培育市民协商精神和公共意识，推动群众对公共事务和公益事业实现自我管理、自我服务、自我教育、自我监督；改进党的群团工作，发挥工会、共青团、妇联等人民团体作用，切实做好民族、宗教、侨务和对台工作。巩固和发展军政军民团结的大好局面，推动军民融合深度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第四节全面落实规划目标任务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编制“十三五”规划纲要和专项规划，要坚决贯彻中央、省委、省政府和市委、市政府及县委、县政府的决策部署，落实本规划确定的战略思想、主要目标、重点任务和重大举措。各乡（镇）、各部门要根据“十三五”规划目标任务，按照项目化管理的要求，明确责任、明确分工，制定路线图和时间表，加强督促检查和问责，确保各项任务落到实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全县各级党组织和广大干部群众要更加紧密团结在以习近平同志为核心的党中央周围，坚决把思想和行动统一到中央、省委、市委和县委的决策部署上来，深入贯彻落实“四个全面”发展战略、凝心聚力，开拓进取，真抓实干，推动经济社会发展再上新台阶，为实现“十三五”确定的规划目标而努力奋斗！</w:t>
      </w:r>
    </w:p>
    <w:p>
      <w:pPr>
        <w:rPr>
          <w:rFonts w:hint="eastAsia" w:ascii="仿宋" w:hAnsi="仿宋" w:eastAsia="仿宋" w:cs="仿宋"/>
          <w:sz w:val="32"/>
          <w:szCs w:val="32"/>
        </w:rPr>
      </w:pPr>
    </w:p>
    <w:sectPr>
      <w:pgSz w:w="11906" w:h="16838"/>
      <w:pgMar w:top="1361" w:right="1474" w:bottom="136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B51AD"/>
    <w:rsid w:val="35F922F3"/>
    <w:rsid w:val="74CA1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2021-12-06T01:06:00Z</dcterms:created>
  <dc:creator>wsq</dc:creator>
  <cp:lastModifiedBy>Panchin  Xu</cp:lastModifiedBy>
  <dcterms:modified xsi:type="dcterms:W3CDTF">2022-03-10T02:57:48Z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25684C2E2AF847BE8CD3C831A33B438B</vt:lpwstr>
  </property>
</Properties>
</file>