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宋体" w:hAnsi="宋体" w:cs="宋体"/>
        </w:rPr>
      </w:pPr>
    </w:p>
    <w:p>
      <w:pPr>
        <w:pStyle w:val="2"/>
        <w:jc w:val="center"/>
        <w:rPr>
          <w:rFonts w:ascii="宋体" w:hAnsi="宋体" w:cs="宋体"/>
          <w:sz w:val="36"/>
          <w:szCs w:val="36"/>
        </w:rPr>
      </w:pPr>
    </w:p>
    <w:p>
      <w:pPr>
        <w:pStyle w:val="2"/>
        <w:spacing w:line="240" w:lineRule="auto"/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cs="宋体" w:asciiTheme="majorEastAsia" w:hAnsiTheme="majorEastAsia" w:eastAsiaTheme="majorEastAsia"/>
          <w:sz w:val="52"/>
          <w:szCs w:val="52"/>
        </w:rPr>
        <w:t>2023年度兴田乡</w:t>
      </w:r>
      <w:r>
        <w:rPr>
          <w:rFonts w:hint="eastAsia" w:asciiTheme="majorEastAsia" w:hAnsiTheme="majorEastAsia" w:eastAsiaTheme="majorEastAsia"/>
          <w:sz w:val="52"/>
          <w:szCs w:val="52"/>
        </w:rPr>
        <w:t>部门整体支出</w:t>
      </w:r>
    </w:p>
    <w:p>
      <w:pPr>
        <w:pStyle w:val="2"/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sz w:val="52"/>
          <w:szCs w:val="52"/>
        </w:rPr>
        <w:t>绩效评价报告</w:t>
      </w:r>
    </w:p>
    <w:p>
      <w:pPr>
        <w:rPr>
          <w:rFonts w:asciiTheme="majorEastAsia" w:hAnsiTheme="majorEastAsia" w:eastAsiaTheme="majorEastAsia"/>
          <w:sz w:val="36"/>
          <w:szCs w:val="36"/>
        </w:rPr>
      </w:pPr>
    </w:p>
    <w:p>
      <w:pPr>
        <w:rPr>
          <w:rFonts w:asciiTheme="majorEastAsia" w:hAnsiTheme="majorEastAsia" w:eastAsiaTheme="majorEastAsia"/>
          <w:sz w:val="36"/>
          <w:szCs w:val="36"/>
        </w:rPr>
      </w:pPr>
    </w:p>
    <w:p>
      <w:pPr>
        <w:rPr>
          <w:rFonts w:asciiTheme="majorEastAsia" w:hAnsiTheme="majorEastAsia" w:eastAsiaTheme="majorEastAsia"/>
          <w:sz w:val="36"/>
          <w:szCs w:val="36"/>
        </w:rPr>
      </w:pPr>
    </w:p>
    <w:p>
      <w:pPr>
        <w:rPr>
          <w:rFonts w:asciiTheme="majorEastAsia" w:hAnsiTheme="majorEastAsia" w:eastAsiaTheme="majorEastAsia"/>
          <w:sz w:val="36"/>
          <w:szCs w:val="36"/>
        </w:rPr>
      </w:pPr>
    </w:p>
    <w:p>
      <w:pPr>
        <w:rPr>
          <w:rFonts w:asciiTheme="majorEastAsia" w:hAnsiTheme="majorEastAsia" w:eastAsiaTheme="majorEastAsia"/>
          <w:sz w:val="36"/>
          <w:szCs w:val="36"/>
        </w:rPr>
      </w:pPr>
    </w:p>
    <w:p>
      <w:pPr>
        <w:rPr>
          <w:rFonts w:asciiTheme="majorEastAsia" w:hAnsiTheme="majorEastAsia" w:eastAsiaTheme="majorEastAsia"/>
          <w:sz w:val="36"/>
          <w:szCs w:val="36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ind w:firstLine="840" w:firstLineChars="300"/>
        <w:rPr>
          <w:rFonts w:asciiTheme="majorEastAsia" w:hAnsiTheme="majorEastAsia" w:eastAsiaTheme="majorEastAsia"/>
          <w:sz w:val="28"/>
          <w:szCs w:val="28"/>
        </w:rPr>
      </w:pPr>
    </w:p>
    <w:p>
      <w:pPr>
        <w:ind w:firstLine="1400" w:firstLineChars="5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评价单位（盖章）：</w:t>
      </w:r>
    </w:p>
    <w:p>
      <w:pPr>
        <w:ind w:firstLine="1400" w:firstLineChars="5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上报时间：2024年4月22日</w:t>
      </w:r>
    </w:p>
    <w:p>
      <w:pPr>
        <w:ind w:firstLine="840" w:firstLineChars="300"/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sdt>
      <w:sdtPr>
        <w:rPr>
          <w:rFonts w:cs="仿宋" w:asciiTheme="majorEastAsia" w:hAnsiTheme="majorEastAsia" w:eastAsiaTheme="majorEastAsia"/>
          <w:sz w:val="28"/>
          <w:szCs w:val="28"/>
        </w:rPr>
        <w:id w:val="3"/>
        <w:docPartObj>
          <w:docPartGallery w:val="Table of Contents"/>
          <w:docPartUnique/>
        </w:docPartObj>
      </w:sdtPr>
      <w:sdtEndPr>
        <w:rPr>
          <w:rFonts w:cs="仿宋" w:asciiTheme="majorEastAsia" w:hAnsiTheme="majorEastAsia" w:eastAsiaTheme="majorEastAsia"/>
          <w:sz w:val="28"/>
          <w:szCs w:val="28"/>
        </w:rPr>
      </w:sdtEndPr>
      <w:sdtContent>
        <w:p>
          <w:pPr>
            <w:spacing w:before="114" w:line="216" w:lineRule="auto"/>
            <w:ind w:firstLine="3780" w:firstLineChars="1350"/>
            <w:rPr>
              <w:rFonts w:cs="仿宋" w:asciiTheme="majorEastAsia" w:hAnsiTheme="majorEastAsia" w:eastAsiaTheme="majorEastAsia"/>
              <w:sz w:val="28"/>
              <w:szCs w:val="28"/>
            </w:rPr>
          </w:pPr>
          <w:r>
            <w:rPr>
              <w:rFonts w:cs="仿宋" w:asciiTheme="majorEastAsia" w:hAnsiTheme="majorEastAsia" w:eastAsiaTheme="majorEastAsia"/>
              <w:spacing w:val="-39"/>
              <w:sz w:val="28"/>
              <w:szCs w:val="28"/>
            </w:rPr>
            <w:t>目</w:t>
          </w:r>
          <w:r>
            <w:rPr>
              <w:rFonts w:hint="eastAsia" w:cs="仿宋" w:asciiTheme="majorEastAsia" w:hAnsiTheme="majorEastAsia" w:eastAsiaTheme="majorEastAsia"/>
              <w:spacing w:val="-39"/>
              <w:sz w:val="28"/>
              <w:szCs w:val="28"/>
            </w:rPr>
            <w:t xml:space="preserve">    </w:t>
          </w:r>
          <w:r>
            <w:rPr>
              <w:rFonts w:cs="仿宋" w:asciiTheme="majorEastAsia" w:hAnsiTheme="majorEastAsia" w:eastAsiaTheme="majorEastAsia"/>
              <w:spacing w:val="-39"/>
              <w:sz w:val="28"/>
              <w:szCs w:val="28"/>
            </w:rPr>
            <w:t>录</w:t>
          </w:r>
        </w:p>
        <w:p>
          <w:pPr>
            <w:tabs>
              <w:tab w:val="right" w:leader="dot" w:pos="8319"/>
            </w:tabs>
            <w:spacing w:before="211" w:line="190" w:lineRule="auto"/>
            <w:ind w:left="37"/>
            <w:rPr>
              <w:rFonts w:cs="仿宋" w:asciiTheme="majorEastAsia" w:hAnsiTheme="majorEastAsia" w:eastAsiaTheme="majorEastAsia"/>
              <w:spacing w:val="-3"/>
              <w:sz w:val="18"/>
              <w:szCs w:val="18"/>
            </w:rPr>
          </w:pPr>
        </w:p>
        <w:p>
          <w:pPr>
            <w:tabs>
              <w:tab w:val="right" w:leader="dot" w:pos="8319"/>
            </w:tabs>
            <w:spacing w:before="211" w:line="190" w:lineRule="auto"/>
            <w:ind w:left="37"/>
            <w:rPr>
              <w:rFonts w:cs="仿宋" w:asciiTheme="majorEastAsia" w:hAnsiTheme="majorEastAsia" w:eastAsiaTheme="majorEastAsia"/>
              <w:sz w:val="28"/>
              <w:szCs w:val="28"/>
            </w:rPr>
          </w:pPr>
          <w:r>
            <w:rPr>
              <w:rFonts w:cs="仿宋" w:asciiTheme="majorEastAsia" w:hAnsiTheme="majorEastAsia" w:eastAsiaTheme="majorEastAsia"/>
              <w:spacing w:val="-3"/>
              <w:sz w:val="28"/>
              <w:szCs w:val="28"/>
            </w:rPr>
            <w:t>一、部门概况</w:t>
          </w:r>
          <w:r>
            <w:rPr>
              <w:rFonts w:cs="仿宋" w:asciiTheme="majorEastAsia" w:hAnsiTheme="majorEastAsia" w:eastAsiaTheme="majorEastAsia"/>
              <w:sz w:val="28"/>
              <w:szCs w:val="28"/>
            </w:rPr>
            <w:tab/>
          </w:r>
          <w:r>
            <w:rPr>
              <w:rFonts w:cs="仿宋" w:asciiTheme="majorEastAsia" w:hAnsiTheme="majorEastAsia" w:eastAsiaTheme="majorEastAsia"/>
              <w:spacing w:val="60"/>
              <w:w w:val="103"/>
              <w:sz w:val="28"/>
              <w:szCs w:val="28"/>
            </w:rPr>
            <w:t>1</w:t>
          </w:r>
        </w:p>
        <w:p>
          <w:pPr>
            <w:tabs>
              <w:tab w:val="right" w:leader="dot" w:pos="8319"/>
            </w:tabs>
            <w:spacing w:before="213" w:line="190" w:lineRule="auto"/>
            <w:ind w:left="33"/>
            <w:rPr>
              <w:rFonts w:cs="仿宋" w:asciiTheme="majorEastAsia" w:hAnsiTheme="majorEastAsia" w:eastAsiaTheme="majorEastAsia"/>
              <w:sz w:val="28"/>
              <w:szCs w:val="28"/>
            </w:rPr>
          </w:pPr>
          <w:r>
            <w:rPr>
              <w:rFonts w:cs="仿宋" w:asciiTheme="majorEastAsia" w:hAnsiTheme="majorEastAsia" w:eastAsiaTheme="majorEastAsia"/>
              <w:spacing w:val="-1"/>
              <w:sz w:val="28"/>
              <w:szCs w:val="28"/>
            </w:rPr>
            <w:t>（一）部门主要职责职能，组织架构，人员及资产等基本情况</w:t>
          </w:r>
          <w:r>
            <w:rPr>
              <w:rFonts w:cs="仿宋" w:asciiTheme="majorEastAsia" w:hAnsiTheme="majorEastAsia" w:eastAsiaTheme="majorEastAsia"/>
              <w:sz w:val="28"/>
              <w:szCs w:val="28"/>
            </w:rPr>
            <w:tab/>
          </w:r>
          <w:r>
            <w:rPr>
              <w:rFonts w:cs="仿宋" w:asciiTheme="majorEastAsia" w:hAnsiTheme="majorEastAsia" w:eastAsiaTheme="majorEastAsia"/>
              <w:spacing w:val="78"/>
              <w:w w:val="125"/>
              <w:sz w:val="28"/>
              <w:szCs w:val="28"/>
            </w:rPr>
            <w:t>1</w:t>
          </w:r>
        </w:p>
        <w:p>
          <w:pPr>
            <w:tabs>
              <w:tab w:val="right" w:leader="dot" w:pos="8319"/>
            </w:tabs>
            <w:spacing w:before="211" w:line="190" w:lineRule="auto"/>
            <w:ind w:left="33"/>
            <w:rPr>
              <w:rFonts w:cs="仿宋" w:asciiTheme="majorEastAsia" w:hAnsiTheme="majorEastAsia" w:eastAsiaTheme="majorEastAsia"/>
              <w:sz w:val="28"/>
              <w:szCs w:val="28"/>
            </w:rPr>
          </w:pPr>
          <w:r>
            <w:rPr>
              <w:rFonts w:cs="仿宋" w:asciiTheme="majorEastAsia" w:hAnsiTheme="majorEastAsia" w:eastAsiaTheme="majorEastAsia"/>
              <w:spacing w:val="-2"/>
              <w:sz w:val="28"/>
              <w:szCs w:val="28"/>
            </w:rPr>
            <w:t>（二）部门履职总体目标、工作任务</w:t>
          </w:r>
          <w:r>
            <w:rPr>
              <w:rFonts w:cs="仿宋" w:asciiTheme="majorEastAsia" w:hAnsiTheme="majorEastAsia" w:eastAsiaTheme="majorEastAsia"/>
              <w:sz w:val="28"/>
              <w:szCs w:val="28"/>
            </w:rPr>
            <w:tab/>
          </w:r>
          <w:r>
            <w:rPr>
              <w:rFonts w:hint="eastAsia" w:cs="仿宋" w:asciiTheme="majorEastAsia" w:hAnsiTheme="majorEastAsia" w:eastAsiaTheme="majorEastAsia"/>
              <w:spacing w:val="56"/>
              <w:w w:val="125"/>
              <w:sz w:val="28"/>
              <w:szCs w:val="28"/>
            </w:rPr>
            <w:t>4</w:t>
          </w:r>
        </w:p>
        <w:p>
          <w:pPr>
            <w:tabs>
              <w:tab w:val="right" w:leader="dot" w:pos="8319"/>
            </w:tabs>
            <w:spacing w:before="211" w:line="190" w:lineRule="auto"/>
            <w:ind w:left="33"/>
            <w:rPr>
              <w:rFonts w:cs="仿宋" w:asciiTheme="majorEastAsia" w:hAnsiTheme="majorEastAsia" w:eastAsiaTheme="majorEastAsia"/>
              <w:sz w:val="28"/>
              <w:szCs w:val="28"/>
            </w:rPr>
          </w:pPr>
          <w:r>
            <w:rPr>
              <w:rFonts w:cs="仿宋" w:asciiTheme="majorEastAsia" w:hAnsiTheme="majorEastAsia" w:eastAsiaTheme="majorEastAsia"/>
              <w:spacing w:val="-2"/>
              <w:sz w:val="28"/>
              <w:szCs w:val="28"/>
            </w:rPr>
            <w:t>（三）部门整体支出绩效目标</w:t>
          </w:r>
          <w:r>
            <w:rPr>
              <w:rFonts w:cs="仿宋" w:asciiTheme="majorEastAsia" w:hAnsiTheme="majorEastAsia" w:eastAsiaTheme="majorEastAsia"/>
              <w:sz w:val="28"/>
              <w:szCs w:val="28"/>
            </w:rPr>
            <w:tab/>
          </w:r>
          <w:r>
            <w:rPr>
              <w:rFonts w:cs="仿宋" w:asciiTheme="majorEastAsia" w:hAnsiTheme="majorEastAsia" w:eastAsiaTheme="majorEastAsia"/>
              <w:spacing w:val="35"/>
              <w:w w:val="136"/>
              <w:sz w:val="28"/>
              <w:szCs w:val="28"/>
            </w:rPr>
            <w:t>4</w:t>
          </w:r>
        </w:p>
        <w:p>
          <w:pPr>
            <w:tabs>
              <w:tab w:val="right" w:leader="dot" w:pos="8319"/>
            </w:tabs>
            <w:spacing w:before="213" w:line="190" w:lineRule="auto"/>
            <w:ind w:left="33"/>
            <w:rPr>
              <w:rFonts w:cs="仿宋" w:asciiTheme="majorEastAsia" w:hAnsiTheme="majorEastAsia" w:eastAsiaTheme="majorEastAsia"/>
              <w:sz w:val="28"/>
              <w:szCs w:val="28"/>
            </w:rPr>
          </w:pPr>
          <w:r>
            <w:rPr>
              <w:rFonts w:cs="仿宋" w:asciiTheme="majorEastAsia" w:hAnsiTheme="majorEastAsia" w:eastAsiaTheme="majorEastAsia"/>
              <w:spacing w:val="-2"/>
              <w:sz w:val="28"/>
              <w:szCs w:val="28"/>
            </w:rPr>
            <w:t>（四）部门预算及执行情况</w:t>
          </w:r>
          <w:r>
            <w:rPr>
              <w:rFonts w:cs="仿宋" w:asciiTheme="majorEastAsia" w:hAnsiTheme="majorEastAsia" w:eastAsiaTheme="majorEastAsia"/>
              <w:sz w:val="28"/>
              <w:szCs w:val="28"/>
            </w:rPr>
            <w:tab/>
          </w:r>
          <w:r>
            <w:rPr>
              <w:rFonts w:cs="仿宋" w:asciiTheme="majorEastAsia" w:hAnsiTheme="majorEastAsia" w:eastAsiaTheme="majorEastAsia"/>
              <w:spacing w:val="48"/>
              <w:w w:val="125"/>
              <w:sz w:val="28"/>
              <w:szCs w:val="28"/>
            </w:rPr>
            <w:t>5</w:t>
          </w:r>
        </w:p>
        <w:p>
          <w:pPr>
            <w:tabs>
              <w:tab w:val="right" w:leader="dot" w:pos="8319"/>
            </w:tabs>
            <w:spacing w:before="211" w:line="190" w:lineRule="auto"/>
            <w:ind w:left="41"/>
            <w:rPr>
              <w:rFonts w:cs="仿宋" w:asciiTheme="majorEastAsia" w:hAnsiTheme="majorEastAsia" w:eastAsiaTheme="majorEastAsia"/>
              <w:sz w:val="28"/>
              <w:szCs w:val="28"/>
            </w:rPr>
          </w:pPr>
          <w:r>
            <w:rPr>
              <w:rFonts w:cs="仿宋" w:asciiTheme="majorEastAsia" w:hAnsiTheme="majorEastAsia" w:eastAsiaTheme="majorEastAsia"/>
              <w:spacing w:val="-3"/>
              <w:sz w:val="28"/>
              <w:szCs w:val="28"/>
            </w:rPr>
            <w:t>二、评价开展情况</w:t>
          </w:r>
          <w:r>
            <w:rPr>
              <w:rFonts w:cs="仿宋" w:asciiTheme="majorEastAsia" w:hAnsiTheme="majorEastAsia" w:eastAsiaTheme="majorEastAsia"/>
              <w:sz w:val="28"/>
              <w:szCs w:val="28"/>
            </w:rPr>
            <w:tab/>
          </w:r>
          <w:r>
            <w:rPr>
              <w:rFonts w:cs="仿宋" w:asciiTheme="majorEastAsia" w:hAnsiTheme="majorEastAsia" w:eastAsiaTheme="majorEastAsia"/>
              <w:spacing w:val="32"/>
              <w:w w:val="125"/>
              <w:sz w:val="28"/>
              <w:szCs w:val="28"/>
            </w:rPr>
            <w:t>6</w:t>
          </w:r>
        </w:p>
        <w:p>
          <w:pPr>
            <w:tabs>
              <w:tab w:val="right" w:leader="dot" w:pos="8319"/>
            </w:tabs>
            <w:spacing w:before="211" w:line="190" w:lineRule="auto"/>
            <w:ind w:left="33"/>
            <w:rPr>
              <w:rFonts w:cs="仿宋" w:asciiTheme="majorEastAsia" w:hAnsiTheme="majorEastAsia" w:eastAsiaTheme="majorEastAsia"/>
              <w:sz w:val="28"/>
              <w:szCs w:val="28"/>
            </w:rPr>
          </w:pPr>
          <w:r>
            <w:rPr>
              <w:rFonts w:cs="仿宋" w:asciiTheme="majorEastAsia" w:hAnsiTheme="majorEastAsia" w:eastAsiaTheme="majorEastAsia"/>
              <w:spacing w:val="-2"/>
              <w:sz w:val="28"/>
              <w:szCs w:val="28"/>
            </w:rPr>
            <w:t>（一）评价的目的和思路</w:t>
          </w:r>
          <w:r>
            <w:rPr>
              <w:rFonts w:cs="仿宋" w:asciiTheme="majorEastAsia" w:hAnsiTheme="majorEastAsia" w:eastAsiaTheme="majorEastAsia"/>
              <w:sz w:val="28"/>
              <w:szCs w:val="28"/>
            </w:rPr>
            <w:tab/>
          </w:r>
          <w:r>
            <w:rPr>
              <w:rFonts w:cs="仿宋" w:asciiTheme="majorEastAsia" w:hAnsiTheme="majorEastAsia" w:eastAsiaTheme="majorEastAsia"/>
              <w:spacing w:val="47"/>
              <w:w w:val="125"/>
              <w:sz w:val="28"/>
              <w:szCs w:val="28"/>
            </w:rPr>
            <w:t>6</w:t>
          </w:r>
        </w:p>
        <w:p>
          <w:pPr>
            <w:tabs>
              <w:tab w:val="right" w:leader="dot" w:pos="8319"/>
            </w:tabs>
            <w:spacing w:before="213" w:line="190" w:lineRule="auto"/>
            <w:ind w:left="33"/>
            <w:rPr>
              <w:rFonts w:cs="仿宋" w:asciiTheme="majorEastAsia" w:hAnsiTheme="majorEastAsia" w:eastAsiaTheme="majorEastAsia"/>
              <w:sz w:val="28"/>
              <w:szCs w:val="28"/>
            </w:rPr>
          </w:pPr>
          <w:r>
            <w:rPr>
              <w:rFonts w:cs="仿宋" w:asciiTheme="majorEastAsia" w:hAnsiTheme="majorEastAsia" w:eastAsiaTheme="majorEastAsia"/>
              <w:spacing w:val="-2"/>
              <w:sz w:val="28"/>
              <w:szCs w:val="28"/>
            </w:rPr>
            <w:t>（二）评价的方法和体系</w:t>
          </w:r>
          <w:r>
            <w:rPr>
              <w:rFonts w:cs="仿宋" w:asciiTheme="majorEastAsia" w:hAnsiTheme="majorEastAsia" w:eastAsiaTheme="majorEastAsia"/>
              <w:sz w:val="28"/>
              <w:szCs w:val="28"/>
            </w:rPr>
            <w:tab/>
          </w:r>
          <w:r>
            <w:rPr>
              <w:rFonts w:hint="eastAsia" w:cs="仿宋" w:asciiTheme="majorEastAsia" w:hAnsiTheme="majorEastAsia" w:eastAsiaTheme="majorEastAsia"/>
              <w:spacing w:val="47"/>
              <w:w w:val="125"/>
              <w:sz w:val="28"/>
              <w:szCs w:val="28"/>
            </w:rPr>
            <w:t>7</w:t>
          </w:r>
        </w:p>
        <w:p>
          <w:pPr>
            <w:tabs>
              <w:tab w:val="right" w:leader="dot" w:pos="8319"/>
            </w:tabs>
            <w:spacing w:before="211" w:line="190" w:lineRule="auto"/>
            <w:ind w:left="33"/>
            <w:rPr>
              <w:rFonts w:cs="仿宋" w:asciiTheme="majorEastAsia" w:hAnsiTheme="majorEastAsia" w:eastAsiaTheme="majorEastAsia"/>
              <w:sz w:val="28"/>
              <w:szCs w:val="28"/>
            </w:rPr>
          </w:pPr>
          <w:r>
            <w:rPr>
              <w:rFonts w:cs="仿宋" w:asciiTheme="majorEastAsia" w:hAnsiTheme="majorEastAsia" w:eastAsiaTheme="majorEastAsia"/>
              <w:spacing w:val="-2"/>
              <w:sz w:val="28"/>
              <w:szCs w:val="28"/>
            </w:rPr>
            <w:t>（三）评价实施过程</w:t>
          </w:r>
          <w:r>
            <w:rPr>
              <w:rFonts w:cs="仿宋" w:asciiTheme="majorEastAsia" w:hAnsiTheme="majorEastAsia" w:eastAsiaTheme="majorEastAsia"/>
              <w:sz w:val="28"/>
              <w:szCs w:val="28"/>
            </w:rPr>
            <w:tab/>
          </w:r>
          <w:r>
            <w:rPr>
              <w:rFonts w:cs="仿宋" w:asciiTheme="majorEastAsia" w:hAnsiTheme="majorEastAsia" w:eastAsiaTheme="majorEastAsia"/>
              <w:spacing w:val="42"/>
              <w:w w:val="125"/>
              <w:sz w:val="28"/>
              <w:szCs w:val="28"/>
            </w:rPr>
            <w:t>7</w:t>
          </w:r>
        </w:p>
        <w:p>
          <w:pPr>
            <w:tabs>
              <w:tab w:val="right" w:leader="dot" w:pos="8319"/>
            </w:tabs>
            <w:spacing w:before="211" w:line="190" w:lineRule="auto"/>
            <w:ind w:left="40"/>
            <w:rPr>
              <w:rFonts w:cs="仿宋" w:asciiTheme="majorEastAsia" w:hAnsiTheme="majorEastAsia" w:eastAsiaTheme="majorEastAsia"/>
              <w:sz w:val="28"/>
              <w:szCs w:val="28"/>
            </w:rPr>
          </w:pPr>
          <w:r>
            <w:rPr>
              <w:rFonts w:cs="仿宋" w:asciiTheme="majorEastAsia" w:hAnsiTheme="majorEastAsia" w:eastAsiaTheme="majorEastAsia"/>
              <w:spacing w:val="-3"/>
              <w:sz w:val="28"/>
              <w:szCs w:val="28"/>
            </w:rPr>
            <w:t>三、评价总体结论</w:t>
          </w:r>
          <w:r>
            <w:rPr>
              <w:rFonts w:cs="仿宋" w:asciiTheme="majorEastAsia" w:hAnsiTheme="majorEastAsia" w:eastAsiaTheme="majorEastAsia"/>
              <w:sz w:val="28"/>
              <w:szCs w:val="28"/>
            </w:rPr>
            <w:tab/>
          </w:r>
          <w:r>
            <w:rPr>
              <w:rFonts w:cs="仿宋" w:asciiTheme="majorEastAsia" w:hAnsiTheme="majorEastAsia" w:eastAsiaTheme="majorEastAsia"/>
              <w:spacing w:val="32"/>
              <w:w w:val="125"/>
              <w:sz w:val="28"/>
              <w:szCs w:val="28"/>
            </w:rPr>
            <w:t>7</w:t>
          </w:r>
        </w:p>
        <w:p>
          <w:pPr>
            <w:tabs>
              <w:tab w:val="right" w:leader="dot" w:pos="8319"/>
            </w:tabs>
            <w:spacing w:before="214" w:line="190" w:lineRule="auto"/>
            <w:ind w:left="33"/>
            <w:rPr>
              <w:rFonts w:cs="仿宋" w:asciiTheme="majorEastAsia" w:hAnsiTheme="majorEastAsia" w:eastAsiaTheme="majorEastAsia"/>
              <w:sz w:val="28"/>
              <w:szCs w:val="28"/>
            </w:rPr>
          </w:pPr>
          <w:r>
            <w:rPr>
              <w:rFonts w:cs="仿宋" w:asciiTheme="majorEastAsia" w:hAnsiTheme="majorEastAsia" w:eastAsiaTheme="majorEastAsia"/>
              <w:spacing w:val="-3"/>
              <w:sz w:val="28"/>
              <w:szCs w:val="28"/>
            </w:rPr>
            <w:t>（一）评价得分情况</w:t>
          </w:r>
          <w:r>
            <w:rPr>
              <w:rFonts w:cs="仿宋" w:asciiTheme="majorEastAsia" w:hAnsiTheme="majorEastAsia" w:eastAsiaTheme="majorEastAsia"/>
              <w:sz w:val="28"/>
              <w:szCs w:val="28"/>
            </w:rPr>
            <w:tab/>
          </w:r>
          <w:r>
            <w:rPr>
              <w:rFonts w:cs="仿宋" w:asciiTheme="majorEastAsia" w:hAnsiTheme="majorEastAsia" w:eastAsiaTheme="majorEastAsia"/>
              <w:spacing w:val="42"/>
              <w:w w:val="125"/>
              <w:sz w:val="28"/>
              <w:szCs w:val="28"/>
            </w:rPr>
            <w:t>7</w:t>
          </w:r>
        </w:p>
        <w:p>
          <w:pPr>
            <w:tabs>
              <w:tab w:val="right" w:leader="dot" w:pos="8319"/>
            </w:tabs>
            <w:spacing w:before="211" w:line="190" w:lineRule="auto"/>
            <w:ind w:left="33"/>
            <w:rPr>
              <w:rFonts w:cs="仿宋" w:asciiTheme="majorEastAsia" w:hAnsiTheme="majorEastAsia" w:eastAsiaTheme="majorEastAsia"/>
              <w:sz w:val="28"/>
              <w:szCs w:val="28"/>
            </w:rPr>
          </w:pPr>
          <w:r>
            <w:rPr>
              <w:rFonts w:cs="仿宋" w:asciiTheme="majorEastAsia" w:hAnsiTheme="majorEastAsia" w:eastAsiaTheme="majorEastAsia"/>
              <w:spacing w:val="-3"/>
              <w:sz w:val="28"/>
              <w:szCs w:val="28"/>
            </w:rPr>
            <w:t>（二）评价总体结论</w:t>
          </w:r>
          <w:r>
            <w:rPr>
              <w:rFonts w:cs="仿宋" w:asciiTheme="majorEastAsia" w:hAnsiTheme="majorEastAsia" w:eastAsiaTheme="majorEastAsia"/>
              <w:sz w:val="28"/>
              <w:szCs w:val="28"/>
            </w:rPr>
            <w:tab/>
          </w:r>
          <w:r>
            <w:rPr>
              <w:rFonts w:hint="eastAsia" w:cs="仿宋" w:asciiTheme="majorEastAsia" w:hAnsiTheme="majorEastAsia" w:eastAsiaTheme="majorEastAsia"/>
              <w:spacing w:val="42"/>
              <w:w w:val="125"/>
              <w:sz w:val="28"/>
              <w:szCs w:val="28"/>
            </w:rPr>
            <w:t>7</w:t>
          </w:r>
        </w:p>
        <w:p>
          <w:pPr>
            <w:tabs>
              <w:tab w:val="right" w:leader="dot" w:pos="8319"/>
            </w:tabs>
            <w:spacing w:before="211" w:line="190" w:lineRule="auto"/>
            <w:ind w:left="65"/>
            <w:rPr>
              <w:rFonts w:cs="仿宋" w:asciiTheme="majorEastAsia" w:hAnsiTheme="majorEastAsia" w:eastAsiaTheme="majorEastAsia"/>
              <w:sz w:val="28"/>
              <w:szCs w:val="28"/>
            </w:rPr>
          </w:pPr>
          <w:r>
            <w:rPr>
              <w:rFonts w:cs="仿宋" w:asciiTheme="majorEastAsia" w:hAnsiTheme="majorEastAsia" w:eastAsiaTheme="majorEastAsia"/>
              <w:spacing w:val="-3"/>
              <w:sz w:val="28"/>
              <w:szCs w:val="28"/>
            </w:rPr>
            <w:t>四、部门整体支出绩效实现情况</w:t>
          </w:r>
          <w:r>
            <w:rPr>
              <w:rFonts w:cs="仿宋" w:asciiTheme="majorEastAsia" w:hAnsiTheme="majorEastAsia" w:eastAsiaTheme="majorEastAsia"/>
              <w:sz w:val="28"/>
              <w:szCs w:val="28"/>
            </w:rPr>
            <w:tab/>
          </w:r>
          <w:r>
            <w:rPr>
              <w:rFonts w:cs="仿宋" w:asciiTheme="majorEastAsia" w:hAnsiTheme="majorEastAsia" w:eastAsiaTheme="majorEastAsia"/>
              <w:spacing w:val="36"/>
              <w:w w:val="125"/>
              <w:sz w:val="28"/>
              <w:szCs w:val="28"/>
            </w:rPr>
            <w:t>8</w:t>
          </w:r>
        </w:p>
        <w:p>
          <w:pPr>
            <w:tabs>
              <w:tab w:val="right" w:leader="dot" w:pos="8320"/>
            </w:tabs>
            <w:spacing w:before="204" w:line="190" w:lineRule="auto"/>
            <w:ind w:left="37"/>
            <w:rPr>
              <w:rFonts w:cs="仿宋" w:asciiTheme="majorEastAsia" w:hAnsiTheme="majorEastAsia" w:eastAsiaTheme="majorEastAsia"/>
              <w:sz w:val="28"/>
              <w:szCs w:val="28"/>
            </w:rPr>
          </w:pPr>
          <w:r>
            <w:rPr>
              <w:rFonts w:cs="仿宋" w:asciiTheme="majorEastAsia" w:hAnsiTheme="majorEastAsia" w:eastAsiaTheme="majorEastAsia"/>
              <w:spacing w:val="-1"/>
              <w:sz w:val="28"/>
              <w:szCs w:val="28"/>
            </w:rPr>
            <w:t>五、部门整体支出绩效中存在问题及改进措施</w:t>
          </w:r>
          <w:r>
            <w:rPr>
              <w:rFonts w:cs="仿宋" w:asciiTheme="majorEastAsia" w:hAnsiTheme="majorEastAsia" w:eastAsiaTheme="majorEastAsia"/>
              <w:sz w:val="28"/>
              <w:szCs w:val="28"/>
            </w:rPr>
            <w:tab/>
          </w:r>
          <w:r>
            <w:rPr>
              <w:rFonts w:hint="eastAsia" w:cs="仿宋" w:asciiTheme="majorEastAsia" w:hAnsiTheme="majorEastAsia" w:eastAsiaTheme="majorEastAsia"/>
              <w:spacing w:val="41"/>
              <w:sz w:val="28"/>
              <w:szCs w:val="28"/>
            </w:rPr>
            <w:t>9</w:t>
          </w:r>
        </w:p>
        <w:p>
          <w:pPr>
            <w:tabs>
              <w:tab w:val="right" w:leader="dot" w:pos="8320"/>
            </w:tabs>
            <w:spacing w:before="211" w:line="190" w:lineRule="auto"/>
            <w:ind w:left="33"/>
            <w:rPr>
              <w:rFonts w:cs="仿宋" w:asciiTheme="majorEastAsia" w:hAnsiTheme="majorEastAsia" w:eastAsiaTheme="majorEastAsia"/>
              <w:sz w:val="28"/>
              <w:szCs w:val="28"/>
            </w:rPr>
          </w:pPr>
          <w:r>
            <w:rPr>
              <w:rFonts w:cs="仿宋" w:asciiTheme="majorEastAsia" w:hAnsiTheme="majorEastAsia" w:eastAsiaTheme="majorEastAsia"/>
              <w:spacing w:val="-2"/>
              <w:sz w:val="28"/>
              <w:szCs w:val="28"/>
            </w:rPr>
            <w:t>（一）主要问题及原因分析</w:t>
          </w:r>
          <w:r>
            <w:rPr>
              <w:rFonts w:cs="仿宋" w:asciiTheme="majorEastAsia" w:hAnsiTheme="majorEastAsia" w:eastAsiaTheme="majorEastAsia"/>
              <w:sz w:val="28"/>
              <w:szCs w:val="28"/>
            </w:rPr>
            <w:tab/>
          </w:r>
          <w:r>
            <w:rPr>
              <w:rFonts w:hint="eastAsia" w:cs="仿宋" w:asciiTheme="majorEastAsia" w:hAnsiTheme="majorEastAsia" w:eastAsiaTheme="majorEastAsia"/>
              <w:spacing w:val="43"/>
              <w:sz w:val="28"/>
              <w:szCs w:val="28"/>
            </w:rPr>
            <w:t>9</w:t>
          </w:r>
        </w:p>
        <w:p>
          <w:pPr>
            <w:tabs>
              <w:tab w:val="right" w:leader="dot" w:pos="8320"/>
            </w:tabs>
            <w:spacing w:before="214" w:line="190" w:lineRule="auto"/>
            <w:ind w:left="33"/>
            <w:rPr>
              <w:rFonts w:cs="仿宋" w:asciiTheme="majorEastAsia" w:hAnsiTheme="majorEastAsia" w:eastAsiaTheme="majorEastAsia"/>
              <w:sz w:val="28"/>
              <w:szCs w:val="28"/>
            </w:rPr>
          </w:pPr>
          <w:r>
            <w:rPr>
              <w:rFonts w:cs="仿宋" w:asciiTheme="majorEastAsia" w:hAnsiTheme="majorEastAsia" w:eastAsiaTheme="majorEastAsia"/>
              <w:spacing w:val="-2"/>
              <w:sz w:val="28"/>
              <w:szCs w:val="28"/>
            </w:rPr>
            <w:t>（二）改进的方向和具体措施</w:t>
          </w:r>
          <w:r>
            <w:rPr>
              <w:rFonts w:cs="仿宋" w:asciiTheme="majorEastAsia" w:hAnsiTheme="majorEastAsia" w:eastAsiaTheme="majorEastAsia"/>
              <w:sz w:val="28"/>
              <w:szCs w:val="28"/>
            </w:rPr>
            <w:tab/>
          </w:r>
          <w:r>
            <w:rPr>
              <w:rFonts w:hint="eastAsia" w:cs="仿宋" w:asciiTheme="majorEastAsia" w:hAnsiTheme="majorEastAsia" w:eastAsiaTheme="majorEastAsia"/>
              <w:spacing w:val="42"/>
              <w:w w:val="101"/>
              <w:sz w:val="28"/>
              <w:szCs w:val="28"/>
            </w:rPr>
            <w:t>10</w:t>
          </w:r>
        </w:p>
        <w:p>
          <w:pPr>
            <w:tabs>
              <w:tab w:val="right" w:leader="dot" w:pos="8320"/>
            </w:tabs>
            <w:spacing w:before="211" w:line="190" w:lineRule="auto"/>
            <w:ind w:left="34"/>
            <w:rPr>
              <w:rFonts w:cs="仿宋" w:asciiTheme="majorEastAsia" w:hAnsiTheme="majorEastAsia" w:eastAsiaTheme="majorEastAsia"/>
              <w:sz w:val="28"/>
              <w:szCs w:val="28"/>
            </w:rPr>
          </w:pPr>
          <w:r>
            <w:rPr>
              <w:rFonts w:cs="仿宋" w:asciiTheme="majorEastAsia" w:hAnsiTheme="majorEastAsia" w:eastAsiaTheme="majorEastAsia"/>
              <w:spacing w:val="-1"/>
              <w:sz w:val="28"/>
              <w:szCs w:val="28"/>
            </w:rPr>
            <w:t>六、其他需要说明的问题</w:t>
          </w:r>
          <w:r>
            <w:rPr>
              <w:rFonts w:cs="仿宋" w:asciiTheme="majorEastAsia" w:hAnsiTheme="majorEastAsia" w:eastAsiaTheme="majorEastAsia"/>
              <w:sz w:val="28"/>
              <w:szCs w:val="28"/>
            </w:rPr>
            <w:tab/>
          </w:r>
          <w:r>
            <w:rPr>
              <w:rFonts w:hint="eastAsia" w:cs="仿宋" w:asciiTheme="majorEastAsia" w:hAnsiTheme="majorEastAsia" w:eastAsiaTheme="majorEastAsia"/>
              <w:spacing w:val="36"/>
              <w:sz w:val="28"/>
              <w:szCs w:val="28"/>
            </w:rPr>
            <w:t>10</w:t>
          </w:r>
        </w:p>
        <w:p>
          <w:pPr>
            <w:spacing w:before="212" w:line="222" w:lineRule="auto"/>
            <w:ind w:left="44"/>
            <w:rPr>
              <w:rFonts w:cs="仿宋" w:asciiTheme="majorEastAsia" w:hAnsiTheme="majorEastAsia" w:eastAsiaTheme="majorEastAsia"/>
              <w:sz w:val="28"/>
              <w:szCs w:val="28"/>
            </w:rPr>
          </w:pPr>
          <w:r>
            <w:rPr>
              <w:rFonts w:cs="仿宋" w:asciiTheme="majorEastAsia" w:hAnsiTheme="majorEastAsia" w:eastAsiaTheme="majorEastAsia"/>
              <w:spacing w:val="-1"/>
              <w:sz w:val="28"/>
              <w:szCs w:val="28"/>
            </w:rPr>
            <w:t>附件：20</w:t>
          </w:r>
          <w:r>
            <w:rPr>
              <w:rFonts w:hint="eastAsia" w:cs="仿宋" w:asciiTheme="majorEastAsia" w:hAnsiTheme="majorEastAsia" w:eastAsiaTheme="majorEastAsia"/>
              <w:spacing w:val="-1"/>
              <w:sz w:val="28"/>
              <w:szCs w:val="28"/>
            </w:rPr>
            <w:t>23</w:t>
          </w:r>
          <w:r>
            <w:rPr>
              <w:rFonts w:cs="仿宋" w:asciiTheme="majorEastAsia" w:hAnsiTheme="majorEastAsia" w:eastAsiaTheme="majorEastAsia"/>
              <w:spacing w:val="-1"/>
              <w:sz w:val="28"/>
              <w:szCs w:val="28"/>
            </w:rPr>
            <w:t>年度</w:t>
          </w:r>
          <w:r>
            <w:rPr>
              <w:rFonts w:hint="eastAsia" w:cs="仿宋" w:asciiTheme="majorEastAsia" w:hAnsiTheme="majorEastAsia" w:eastAsiaTheme="majorEastAsia"/>
              <w:spacing w:val="-1"/>
              <w:sz w:val="28"/>
              <w:szCs w:val="28"/>
            </w:rPr>
            <w:t>浮梁县兴田乡</w:t>
          </w:r>
          <w:r>
            <w:rPr>
              <w:rFonts w:cs="仿宋" w:asciiTheme="majorEastAsia" w:hAnsiTheme="majorEastAsia" w:eastAsiaTheme="majorEastAsia"/>
              <w:spacing w:val="-1"/>
              <w:sz w:val="28"/>
              <w:szCs w:val="28"/>
            </w:rPr>
            <w:t>部门整体支出绩效评价指标体系及评</w:t>
          </w:r>
        </w:p>
        <w:p>
          <w:pPr>
            <w:tabs>
              <w:tab w:val="right" w:leader="dot" w:pos="8320"/>
            </w:tabs>
            <w:spacing w:before="165" w:line="224" w:lineRule="auto"/>
            <w:ind w:left="36"/>
            <w:rPr>
              <w:rFonts w:cs="仿宋" w:asciiTheme="majorEastAsia" w:hAnsiTheme="majorEastAsia" w:eastAsiaTheme="majorEastAsia"/>
              <w:sz w:val="28"/>
              <w:szCs w:val="28"/>
            </w:rPr>
          </w:pPr>
          <w:r>
            <w:rPr>
              <w:rFonts w:cs="仿宋" w:asciiTheme="majorEastAsia" w:hAnsiTheme="majorEastAsia" w:eastAsiaTheme="majorEastAsia"/>
              <w:spacing w:val="-11"/>
              <w:sz w:val="28"/>
              <w:szCs w:val="28"/>
            </w:rPr>
            <w:t>分表</w:t>
          </w:r>
          <w:r>
            <w:rPr>
              <w:rFonts w:cs="仿宋" w:asciiTheme="majorEastAsia" w:hAnsiTheme="majorEastAsia" w:eastAsiaTheme="majorEastAsia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cs="仿宋" w:asciiTheme="majorEastAsia" w:hAnsiTheme="majorEastAsia" w:eastAsiaTheme="majorEastAsia"/>
              <w:spacing w:val="-15"/>
              <w:sz w:val="28"/>
              <w:szCs w:val="28"/>
            </w:rPr>
            <w:t>1</w:t>
          </w:r>
          <w:r>
            <w:rPr>
              <w:rFonts w:cs="仿宋" w:asciiTheme="majorEastAsia" w:hAnsiTheme="majorEastAsia" w:eastAsiaTheme="majorEastAsia"/>
              <w:spacing w:val="-15"/>
              <w:sz w:val="28"/>
              <w:szCs w:val="28"/>
            </w:rPr>
            <w:fldChar w:fldCharType="end"/>
          </w:r>
          <w:r>
            <w:rPr>
              <w:rFonts w:hint="eastAsia" w:cs="仿宋" w:asciiTheme="majorEastAsia" w:hAnsiTheme="majorEastAsia" w:eastAsiaTheme="majorEastAsia"/>
              <w:spacing w:val="-15"/>
              <w:sz w:val="28"/>
              <w:szCs w:val="28"/>
            </w:rPr>
            <w:t>1</w:t>
          </w:r>
        </w:p>
      </w:sdtContent>
    </w:sdt>
    <w:p>
      <w:pPr>
        <w:spacing w:line="224" w:lineRule="auto"/>
        <w:rPr>
          <w:rFonts w:cs="仿宋" w:asciiTheme="majorEastAsia" w:hAnsiTheme="majorEastAsia" w:eastAsiaTheme="majorEastAsia"/>
          <w:sz w:val="28"/>
          <w:szCs w:val="28"/>
        </w:rPr>
        <w:sectPr>
          <w:footerReference r:id="rId3" w:type="default"/>
          <w:pgSz w:w="11906" w:h="16839"/>
          <w:pgMar w:top="1440" w:right="1800" w:bottom="1440" w:left="1800" w:header="0" w:footer="0" w:gutter="0"/>
          <w:cols w:space="720" w:num="1"/>
        </w:sectPr>
      </w:pPr>
    </w:p>
    <w:p>
      <w:pPr>
        <w:pStyle w:val="2"/>
        <w:jc w:val="center"/>
        <w:rPr>
          <w:rFonts w:cs="宋体" w:asciiTheme="majorEastAsia" w:hAnsiTheme="majorEastAsia" w:eastAsiaTheme="majorEastAsia"/>
          <w:szCs w:val="44"/>
        </w:rPr>
      </w:pPr>
      <w:r>
        <w:rPr>
          <w:rFonts w:hint="eastAsia" w:cs="宋体" w:asciiTheme="majorEastAsia" w:hAnsiTheme="majorEastAsia" w:eastAsiaTheme="majorEastAsia"/>
          <w:szCs w:val="44"/>
        </w:rPr>
        <w:t>2023年度浮梁县兴田部门整体支出        绩效评价报告</w:t>
      </w:r>
    </w:p>
    <w:p>
      <w:pPr>
        <w:ind w:firstLine="560" w:firstLineChars="20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为深入贯彻党的二十大精神，全面推进实施绩效管理，根据《江西省财政厅关于做好2024年省级预算绩效管理工作的通知》（赣财绩〔2024〕3 号）、《景德镇市财政局关于做好 2024 年度预算绩效管理工作通知》（景财监〔2024〕2 号）、《浮梁县财政局2024 年县级预算绩效管理工作的通知》（浮财绩字〔2024〕2 号）等文件要求，现就2023年度组织实施的部门整体支出绩效评价情况报告如下：</w:t>
      </w:r>
    </w:p>
    <w:p>
      <w:pPr>
        <w:ind w:firstLine="562" w:firstLineChars="20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一、部门概况</w:t>
      </w:r>
    </w:p>
    <w:p>
      <w:pPr>
        <w:ind w:firstLine="562" w:firstLineChars="20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（一）部门主要职责职能，组织架构，人员及资产等基本情况</w:t>
      </w:r>
    </w:p>
    <w:p>
      <w:pPr>
        <w:pStyle w:val="12"/>
        <w:numPr>
          <w:ilvl w:val="0"/>
          <w:numId w:val="1"/>
        </w:numPr>
        <w:ind w:firstLineChars="0"/>
        <w:rPr>
          <w:rFonts w:cs="仿宋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部门主要职责职能</w:t>
      </w:r>
    </w:p>
    <w:p>
      <w:pPr>
        <w:ind w:left="643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（1）执行本级人民代表大会的决议和上级国家行政机关的决定和命令，发布决定和命令。</w:t>
      </w:r>
    </w:p>
    <w:p>
      <w:pPr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（2）执行本行政区域内的经济和社会发展计划，加强公共设施的建设和管理，发展各项服务事业。</w:t>
      </w:r>
    </w:p>
    <w:p>
      <w:pPr>
        <w:ind w:left="643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（3）依法管理本级财政、执行本级预算。  </w:t>
      </w:r>
    </w:p>
    <w:p>
      <w:pPr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（4）为群众提供有效的科技、教育、文化、信息、卫生、体育、医疗、劳动就业、安全生产等方面的服务。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（5）保护国有资产和集体所有的财产，保护公民私人所有的合法财产、保障公民的人身权利、民主权利和其他权利，保护各种组织的合法权益。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（6）开展社会主义与法制教育，架起那个社会法制综合治理，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调解</w:t>
      </w:r>
      <w:r>
        <w:rPr>
          <w:rFonts w:hint="eastAsia" w:asciiTheme="majorEastAsia" w:hAnsiTheme="majorEastAsia" w:eastAsiaTheme="majorEastAsia"/>
          <w:sz w:val="28"/>
          <w:szCs w:val="28"/>
        </w:rPr>
        <w:t>民事纠纷，维护社会秩序。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（7）执行党和国家的计划生育方针、政策、法规，制定本乡人口与计划生育的规定和措施，保护妇女、儿童和老人的合法权益。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（8）负责民政工作，发展社会福利事业，做好社会保障工作，办理兵役事项。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（9）承办上级人民政府交办的其他事项。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（10）设立人民武装部，依法履行国防动员、民兵训练、预备役管理等职能。</w:t>
      </w:r>
    </w:p>
    <w:p>
      <w:pPr>
        <w:ind w:firstLine="275" w:firstLineChars="98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2.部门组织架构</w:t>
      </w:r>
    </w:p>
    <w:p>
      <w:pPr>
        <w:ind w:firstLine="840" w:firstLineChars="30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我乡属于政府工作部门，正科级，内设7个职能股（室），分别为：党政办、经济发展和财政办、农业农村办、社会事务办、社会综治办、综合行政执法队、便民服务中心。共有预算单位1个。</w:t>
      </w:r>
    </w:p>
    <w:p>
      <w:pPr>
        <w:ind w:firstLine="562" w:firstLineChars="200"/>
        <w:rPr>
          <w:rFonts w:cs="仿宋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3.部门人员情况</w:t>
      </w:r>
    </w:p>
    <w:p>
      <w:pPr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我乡人民政府经机构管理部门核定编制人数为 57人，其中：行政编制 23人，事业编制 34人，实际在职人数为 72人，其中：行政编制22人，事业编制 27人，其他人员23 人</w:t>
      </w:r>
    </w:p>
    <w:p>
      <w:pPr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具体情况如下表：</w:t>
      </w:r>
    </w:p>
    <w:tbl>
      <w:tblPr>
        <w:tblStyle w:val="9"/>
        <w:tblW w:w="91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0"/>
        <w:gridCol w:w="1320"/>
        <w:gridCol w:w="1436"/>
        <w:gridCol w:w="1270"/>
        <w:gridCol w:w="10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  <w:jc w:val="center"/>
        </w:trPr>
        <w:tc>
          <w:tcPr>
            <w:tcW w:w="4130" w:type="dxa"/>
            <w:tcBorders>
              <w:tl2br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cs="Arial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cs="Arial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01" w:line="226" w:lineRule="auto"/>
              <w:ind w:left="2246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3"/>
                <w:kern w:val="0"/>
                <w:sz w:val="28"/>
                <w:szCs w:val="28"/>
                <w:lang w:eastAsia="en-US"/>
              </w:rPr>
              <w:t>预算单位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18" w:line="228" w:lineRule="auto"/>
              <w:ind w:left="134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3"/>
                <w:kern w:val="0"/>
                <w:sz w:val="28"/>
                <w:szCs w:val="28"/>
                <w:lang w:eastAsia="en-US"/>
              </w:rPr>
              <w:t>人员情况</w:t>
            </w:r>
          </w:p>
        </w:tc>
        <w:tc>
          <w:tcPr>
            <w:tcW w:w="132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cs="Arial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cs="Arial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01" w:line="499" w:lineRule="exact"/>
              <w:ind w:left="358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-3"/>
                <w:kern w:val="0"/>
                <w:position w:val="13"/>
                <w:sz w:val="28"/>
                <w:szCs w:val="28"/>
                <w:lang w:eastAsia="en-US"/>
              </w:rPr>
              <w:t>本级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" w:line="227" w:lineRule="auto"/>
              <w:ind w:left="357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机关</w:t>
            </w:r>
          </w:p>
        </w:tc>
        <w:tc>
          <w:tcPr>
            <w:tcW w:w="1436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5" w:line="195" w:lineRule="auto"/>
              <w:ind w:left="582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cs="Arial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cs="Arial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" w:line="227" w:lineRule="auto"/>
              <w:ind w:left="180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4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cs="Arial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cs="Arial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cs="Arial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ind w:left="228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413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4" w:line="227" w:lineRule="auto"/>
              <w:ind w:left="134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6"/>
                <w:kern w:val="0"/>
                <w:sz w:val="28"/>
                <w:szCs w:val="28"/>
                <w:lang w:eastAsia="en-US"/>
              </w:rPr>
              <w:t>一、部门编制数</w:t>
            </w:r>
          </w:p>
        </w:tc>
        <w:tc>
          <w:tcPr>
            <w:tcW w:w="132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4" w:line="232" w:lineRule="auto"/>
              <w:ind w:left="507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436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4" w:line="232" w:lineRule="auto"/>
              <w:ind w:left="564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27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4" w:line="232" w:lineRule="auto"/>
              <w:ind w:left="482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4" w:line="232" w:lineRule="auto"/>
              <w:ind w:left="507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413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4" w:line="226" w:lineRule="auto"/>
              <w:ind w:left="967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6"/>
                <w:kern w:val="0"/>
                <w:sz w:val="28"/>
                <w:szCs w:val="28"/>
                <w:lang w:eastAsia="en-US"/>
              </w:rPr>
              <w:t>其中：行政编制</w:t>
            </w:r>
          </w:p>
        </w:tc>
        <w:tc>
          <w:tcPr>
            <w:tcW w:w="132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4" w:line="232" w:lineRule="auto"/>
              <w:ind w:left="507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36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59" w:line="206" w:lineRule="exact"/>
              <w:ind w:left="645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position w:val="-5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59" w:line="206" w:lineRule="exact"/>
              <w:ind w:left="562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position w:val="-5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42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4" w:line="232" w:lineRule="auto"/>
              <w:ind w:left="507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413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6" w:line="227" w:lineRule="auto"/>
              <w:ind w:left="1929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2"/>
                <w:kern w:val="0"/>
                <w:sz w:val="28"/>
                <w:szCs w:val="28"/>
                <w:lang w:eastAsia="en-US"/>
              </w:rPr>
              <w:t>参公编制</w:t>
            </w:r>
          </w:p>
        </w:tc>
        <w:tc>
          <w:tcPr>
            <w:tcW w:w="132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1" w:line="206" w:lineRule="exact"/>
              <w:ind w:left="585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position w:val="-5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36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1" w:line="206" w:lineRule="exact"/>
              <w:ind w:left="645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position w:val="-5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1" w:line="206" w:lineRule="exact"/>
              <w:ind w:left="562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position w:val="-5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42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1" w:line="206" w:lineRule="exact"/>
              <w:ind w:left="585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position w:val="-5"/>
                <w:sz w:val="28"/>
                <w:szCs w:val="28"/>
                <w:lang w:eastAsia="en-US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413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6" w:line="227" w:lineRule="auto"/>
              <w:ind w:left="1692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5"/>
                <w:kern w:val="0"/>
                <w:sz w:val="28"/>
                <w:szCs w:val="28"/>
                <w:lang w:eastAsia="en-US"/>
              </w:rPr>
              <w:t>全额补助事业编</w:t>
            </w:r>
          </w:p>
        </w:tc>
        <w:tc>
          <w:tcPr>
            <w:tcW w:w="132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1" w:line="206" w:lineRule="exact"/>
              <w:ind w:left="585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position w:val="-5"/>
                <w:sz w:val="28"/>
                <w:szCs w:val="28"/>
              </w:rPr>
              <w:t>34</w:t>
            </w:r>
          </w:p>
        </w:tc>
        <w:tc>
          <w:tcPr>
            <w:tcW w:w="1436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32" w:lineRule="auto"/>
              <w:ind w:left="564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27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1" w:line="206" w:lineRule="exact"/>
              <w:ind w:left="562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position w:val="-5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42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1" w:line="206" w:lineRule="exact"/>
              <w:ind w:left="585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position w:val="-5"/>
                <w:sz w:val="28"/>
                <w:szCs w:val="28"/>
              </w:rPr>
              <w:t>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413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6" w:line="229" w:lineRule="auto"/>
              <w:ind w:left="1744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自收自支事业编</w:t>
            </w:r>
          </w:p>
        </w:tc>
        <w:tc>
          <w:tcPr>
            <w:tcW w:w="132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2" w:line="206" w:lineRule="exact"/>
              <w:ind w:left="585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position w:val="-5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36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2" w:line="206" w:lineRule="exact"/>
              <w:ind w:left="645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position w:val="-5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7" w:line="231" w:lineRule="auto"/>
              <w:ind w:left="482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2" w:line="206" w:lineRule="exact"/>
              <w:ind w:left="585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position w:val="-5"/>
                <w:sz w:val="28"/>
                <w:szCs w:val="28"/>
                <w:lang w:eastAsia="en-US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413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5" w:lineRule="auto"/>
              <w:ind w:left="139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5"/>
                <w:kern w:val="0"/>
                <w:sz w:val="28"/>
                <w:szCs w:val="28"/>
                <w:lang w:eastAsia="en-US"/>
              </w:rPr>
              <w:t>二、实有在职人数</w:t>
            </w:r>
          </w:p>
        </w:tc>
        <w:tc>
          <w:tcPr>
            <w:tcW w:w="132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32" w:lineRule="auto"/>
              <w:ind w:left="507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436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32" w:lineRule="auto"/>
              <w:ind w:left="564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27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32" w:lineRule="auto"/>
              <w:ind w:left="482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32" w:lineRule="auto"/>
              <w:ind w:left="507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413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7" w:line="225" w:lineRule="auto"/>
              <w:ind w:left="462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4"/>
                <w:kern w:val="0"/>
                <w:sz w:val="28"/>
                <w:szCs w:val="28"/>
                <w:lang w:eastAsia="en-US"/>
              </w:rPr>
              <w:t>1、在职在编人员</w:t>
            </w:r>
          </w:p>
        </w:tc>
        <w:tc>
          <w:tcPr>
            <w:tcW w:w="132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7" w:line="231" w:lineRule="auto"/>
              <w:ind w:left="507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436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7" w:line="231" w:lineRule="auto"/>
              <w:ind w:left="564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27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7" w:line="231" w:lineRule="auto"/>
              <w:ind w:left="482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7" w:line="231" w:lineRule="auto"/>
              <w:ind w:left="507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413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6" w:line="226" w:lineRule="auto"/>
              <w:ind w:left="967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6"/>
                <w:kern w:val="0"/>
                <w:sz w:val="28"/>
                <w:szCs w:val="28"/>
                <w:lang w:eastAsia="en-US"/>
              </w:rPr>
              <w:t>其中：行政人员</w:t>
            </w:r>
          </w:p>
        </w:tc>
        <w:tc>
          <w:tcPr>
            <w:tcW w:w="132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32" w:lineRule="auto"/>
              <w:ind w:left="507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36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32" w:lineRule="auto"/>
              <w:ind w:left="564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27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32" w:lineRule="auto"/>
              <w:ind w:left="482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32" w:lineRule="auto"/>
              <w:ind w:left="507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413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7" w:line="499" w:lineRule="exact"/>
              <w:ind w:left="1932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2"/>
                <w:kern w:val="0"/>
                <w:position w:val="13"/>
                <w:sz w:val="28"/>
                <w:szCs w:val="28"/>
                <w:lang w:eastAsia="en-US"/>
              </w:rPr>
              <w:t>全额补助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ind w:left="1924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4"/>
                <w:kern w:val="0"/>
                <w:sz w:val="28"/>
                <w:szCs w:val="28"/>
                <w:lang w:eastAsia="en-US"/>
              </w:rPr>
              <w:t>事业人员</w:t>
            </w:r>
          </w:p>
        </w:tc>
        <w:tc>
          <w:tcPr>
            <w:tcW w:w="132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cs="Arial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01" w:line="448" w:lineRule="exact"/>
              <w:ind w:left="507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position w:val="3"/>
                <w:sz w:val="28"/>
                <w:szCs w:val="28"/>
              </w:rPr>
              <w:t>27</w:t>
            </w:r>
          </w:p>
        </w:tc>
        <w:tc>
          <w:tcPr>
            <w:tcW w:w="1436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cs="Arial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01" w:line="448" w:lineRule="exact"/>
              <w:ind w:left="564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position w:val="3"/>
                <w:sz w:val="28"/>
                <w:szCs w:val="28"/>
              </w:rPr>
              <w:t>-</w:t>
            </w:r>
          </w:p>
        </w:tc>
        <w:tc>
          <w:tcPr>
            <w:tcW w:w="127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cs="Arial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01" w:line="448" w:lineRule="exact"/>
              <w:ind w:left="482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position w:val="3"/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cs="Arial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01" w:line="448" w:lineRule="exact"/>
              <w:ind w:left="507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position w:val="3"/>
                <w:sz w:val="28"/>
                <w:szCs w:val="28"/>
              </w:rPr>
              <w:t>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413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502" w:lineRule="exact"/>
              <w:ind w:left="1984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-11"/>
                <w:kern w:val="0"/>
                <w:position w:val="13"/>
                <w:sz w:val="28"/>
                <w:szCs w:val="28"/>
                <w:lang w:eastAsia="en-US"/>
              </w:rPr>
              <w:t>自收自支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ind w:left="1924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4"/>
                <w:kern w:val="0"/>
                <w:sz w:val="28"/>
                <w:szCs w:val="28"/>
                <w:lang w:eastAsia="en-US"/>
              </w:rPr>
              <w:t>事业人员</w:t>
            </w:r>
          </w:p>
        </w:tc>
        <w:tc>
          <w:tcPr>
            <w:tcW w:w="132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cs="Arial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01" w:line="448" w:lineRule="exact"/>
              <w:ind w:left="507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position w:val="3"/>
                <w:sz w:val="28"/>
                <w:szCs w:val="28"/>
              </w:rPr>
              <w:t>-</w:t>
            </w:r>
          </w:p>
        </w:tc>
        <w:tc>
          <w:tcPr>
            <w:tcW w:w="1436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cs="Arial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01" w:line="448" w:lineRule="exact"/>
              <w:ind w:left="564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position w:val="3"/>
                <w:sz w:val="28"/>
                <w:szCs w:val="28"/>
              </w:rPr>
              <w:t>-</w:t>
            </w:r>
          </w:p>
        </w:tc>
        <w:tc>
          <w:tcPr>
            <w:tcW w:w="127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cs="Arial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01" w:line="448" w:lineRule="exact"/>
              <w:ind w:left="482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position w:val="3"/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cs="Arial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01" w:line="448" w:lineRule="exact"/>
              <w:ind w:left="507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position w:val="3"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413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8" w:lineRule="auto"/>
              <w:ind w:left="442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6"/>
                <w:kern w:val="0"/>
                <w:sz w:val="28"/>
                <w:szCs w:val="28"/>
                <w:lang w:eastAsia="en-US"/>
              </w:rPr>
              <w:t>2、</w:t>
            </w: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spacing w:val="6"/>
                <w:kern w:val="0"/>
                <w:sz w:val="28"/>
                <w:szCs w:val="28"/>
              </w:rPr>
              <w:t>其他</w:t>
            </w: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6"/>
                <w:kern w:val="0"/>
                <w:sz w:val="28"/>
                <w:szCs w:val="28"/>
                <w:lang w:eastAsia="en-US"/>
              </w:rPr>
              <w:t>人员</w:t>
            </w:r>
          </w:p>
        </w:tc>
        <w:tc>
          <w:tcPr>
            <w:tcW w:w="132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34" w:lineRule="auto"/>
              <w:ind w:left="507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36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34" w:lineRule="auto"/>
              <w:ind w:left="564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27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34" w:lineRule="auto"/>
              <w:ind w:left="482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34" w:lineRule="auto"/>
              <w:ind w:left="507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  <w:t>23</w:t>
            </w:r>
          </w:p>
        </w:tc>
      </w:tr>
    </w:tbl>
    <w:p>
      <w:pPr>
        <w:ind w:firstLine="596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cs="楷体" w:asciiTheme="majorEastAsia" w:hAnsiTheme="majorEastAsia" w:eastAsiaTheme="majorEastAsia"/>
          <w:spacing w:val="9"/>
          <w:sz w:val="28"/>
          <w:szCs w:val="28"/>
        </w:rPr>
        <w:t>4.部门资产情况</w:t>
      </w:r>
      <w:r>
        <w:rPr>
          <w:rFonts w:hint="eastAsia" w:cs="仿宋" w:asciiTheme="majorEastAsia" w:hAnsiTheme="majorEastAsia" w:eastAsiaTheme="majorEastAsia"/>
          <w:sz w:val="28"/>
          <w:szCs w:val="28"/>
        </w:rPr>
        <w:t>截至 2023年12月31日， 固定资产账面价值854万元。</w:t>
      </w:r>
    </w:p>
    <w:p>
      <w:pPr>
        <w:spacing w:before="101" w:line="222" w:lineRule="auto"/>
        <w:ind w:firstLine="876" w:firstLineChars="30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cs="仿宋" w:asciiTheme="majorEastAsia" w:hAnsiTheme="majorEastAsia" w:eastAsiaTheme="majorEastAsia"/>
          <w:spacing w:val="6"/>
          <w:sz w:val="28"/>
          <w:szCs w:val="28"/>
        </w:rPr>
        <w:t>20</w:t>
      </w:r>
      <w:r>
        <w:rPr>
          <w:rFonts w:hint="eastAsia" w:cs="仿宋" w:asciiTheme="majorEastAsia" w:hAnsiTheme="majorEastAsia" w:eastAsiaTheme="majorEastAsia"/>
          <w:spacing w:val="6"/>
          <w:sz w:val="28"/>
          <w:szCs w:val="28"/>
        </w:rPr>
        <w:t>23</w:t>
      </w:r>
      <w:r>
        <w:rPr>
          <w:rFonts w:cs="仿宋" w:asciiTheme="majorEastAsia" w:hAnsiTheme="majorEastAsia" w:eastAsiaTheme="majorEastAsia"/>
          <w:spacing w:val="6"/>
          <w:sz w:val="28"/>
          <w:szCs w:val="28"/>
        </w:rPr>
        <w:t>年度</w:t>
      </w:r>
      <w:r>
        <w:rPr>
          <w:rFonts w:hint="eastAsia" w:cs="仿宋" w:asciiTheme="majorEastAsia" w:hAnsiTheme="majorEastAsia" w:eastAsiaTheme="majorEastAsia"/>
          <w:spacing w:val="6"/>
          <w:sz w:val="28"/>
          <w:szCs w:val="28"/>
        </w:rPr>
        <w:t>兴田乡政府</w:t>
      </w:r>
      <w:r>
        <w:rPr>
          <w:rFonts w:cs="仿宋" w:asciiTheme="majorEastAsia" w:hAnsiTheme="majorEastAsia" w:eastAsiaTheme="majorEastAsia"/>
          <w:spacing w:val="6"/>
          <w:sz w:val="28"/>
          <w:szCs w:val="28"/>
        </w:rPr>
        <w:t>资产情况如下表：</w:t>
      </w:r>
    </w:p>
    <w:tbl>
      <w:tblPr>
        <w:tblStyle w:val="9"/>
        <w:tblW w:w="832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3"/>
        <w:gridCol w:w="2689"/>
        <w:gridCol w:w="26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2993" w:type="dxa"/>
          </w:tcPr>
          <w:p>
            <w:pPr>
              <w:pStyle w:val="10"/>
              <w:spacing w:before="218" w:line="228" w:lineRule="auto"/>
              <w:ind w:left="891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资产情况</w:t>
            </w:r>
          </w:p>
        </w:tc>
        <w:tc>
          <w:tcPr>
            <w:tcW w:w="2689" w:type="dxa"/>
          </w:tcPr>
          <w:p>
            <w:pPr>
              <w:pStyle w:val="10"/>
              <w:spacing w:before="218" w:line="228" w:lineRule="auto"/>
              <w:ind w:left="89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pacing w:val="5"/>
                <w:sz w:val="28"/>
                <w:szCs w:val="28"/>
              </w:rPr>
              <w:t>年末余额（万元）</w:t>
            </w:r>
          </w:p>
        </w:tc>
        <w:tc>
          <w:tcPr>
            <w:tcW w:w="2641" w:type="dxa"/>
          </w:tcPr>
          <w:p>
            <w:pPr>
              <w:pStyle w:val="10"/>
              <w:spacing w:before="218" w:line="228" w:lineRule="auto"/>
              <w:ind w:left="64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pacing w:val="5"/>
                <w:sz w:val="28"/>
                <w:szCs w:val="28"/>
              </w:rPr>
              <w:t>年初余额（万元）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2993" w:type="dxa"/>
          </w:tcPr>
          <w:p>
            <w:pPr>
              <w:pStyle w:val="10"/>
              <w:spacing w:before="181" w:line="228" w:lineRule="auto"/>
              <w:ind w:left="3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pacing w:val="5"/>
                <w:sz w:val="28"/>
                <w:szCs w:val="28"/>
              </w:rPr>
              <w:t>一、货币资金</w:t>
            </w:r>
          </w:p>
        </w:tc>
        <w:tc>
          <w:tcPr>
            <w:tcW w:w="2689" w:type="dxa"/>
          </w:tcPr>
          <w:p>
            <w:pPr>
              <w:pStyle w:val="10"/>
              <w:spacing w:before="181" w:line="448" w:lineRule="exact"/>
              <w:ind w:left="1192"/>
              <w:rPr>
                <w:rFonts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position w:val="3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2641" w:type="dxa"/>
          </w:tcPr>
          <w:p>
            <w:pPr>
              <w:pStyle w:val="10"/>
              <w:spacing w:before="181" w:line="448" w:lineRule="exact"/>
              <w:ind w:left="1167"/>
              <w:rPr>
                <w:rFonts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2993" w:type="dxa"/>
          </w:tcPr>
          <w:p>
            <w:pPr>
              <w:pStyle w:val="10"/>
              <w:spacing w:before="201" w:line="229" w:lineRule="auto"/>
              <w:ind w:left="35"/>
              <w:rPr>
                <w:rFonts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pacing w:val="6"/>
                <w:sz w:val="28"/>
                <w:szCs w:val="28"/>
                <w:lang w:eastAsia="zh-CN"/>
              </w:rPr>
              <w:t>二、</w:t>
            </w:r>
            <w:r>
              <w:rPr>
                <w:rFonts w:asciiTheme="majorEastAsia" w:hAnsiTheme="majorEastAsia" w:eastAsiaTheme="majorEastAsia"/>
                <w:spacing w:val="3"/>
                <w:sz w:val="28"/>
                <w:szCs w:val="28"/>
              </w:rPr>
              <w:t>应收款净额</w:t>
            </w:r>
          </w:p>
        </w:tc>
        <w:tc>
          <w:tcPr>
            <w:tcW w:w="2689" w:type="dxa"/>
          </w:tcPr>
          <w:p>
            <w:pPr>
              <w:pStyle w:val="10"/>
              <w:spacing w:before="202" w:line="448" w:lineRule="exact"/>
              <w:ind w:left="1192"/>
              <w:rPr>
                <w:rFonts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position w:val="3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2641" w:type="dxa"/>
          </w:tcPr>
          <w:p>
            <w:pPr>
              <w:pStyle w:val="10"/>
              <w:spacing w:before="202" w:line="448" w:lineRule="exact"/>
              <w:ind w:left="1167"/>
              <w:rPr>
                <w:rFonts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position w:val="3"/>
                <w:sz w:val="28"/>
                <w:szCs w:val="28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993" w:type="dxa"/>
          </w:tcPr>
          <w:p>
            <w:pPr>
              <w:pStyle w:val="10"/>
              <w:spacing w:before="211" w:line="229" w:lineRule="auto"/>
              <w:ind w:left="34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pacing w:val="4"/>
                <w:sz w:val="28"/>
                <w:szCs w:val="28"/>
              </w:rPr>
              <w:t>三、预付账款</w:t>
            </w:r>
          </w:p>
        </w:tc>
        <w:tc>
          <w:tcPr>
            <w:tcW w:w="2689" w:type="dxa"/>
          </w:tcPr>
          <w:p>
            <w:pPr>
              <w:pStyle w:val="10"/>
              <w:spacing w:before="212" w:line="448" w:lineRule="exact"/>
              <w:ind w:left="1192"/>
              <w:rPr>
                <w:rFonts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position w:val="3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2641" w:type="dxa"/>
          </w:tcPr>
          <w:p>
            <w:pPr>
              <w:pStyle w:val="10"/>
              <w:spacing w:before="212" w:line="448" w:lineRule="exact"/>
              <w:ind w:left="1167"/>
              <w:rPr>
                <w:rFonts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2993" w:type="dxa"/>
          </w:tcPr>
          <w:p>
            <w:pPr>
              <w:pStyle w:val="10"/>
              <w:spacing w:before="287" w:line="227" w:lineRule="auto"/>
              <w:ind w:left="63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pacing w:val="3"/>
                <w:sz w:val="28"/>
                <w:szCs w:val="28"/>
              </w:rPr>
              <w:t>四、其他应收款净额</w:t>
            </w:r>
          </w:p>
        </w:tc>
        <w:tc>
          <w:tcPr>
            <w:tcW w:w="2689" w:type="dxa"/>
          </w:tcPr>
          <w:p>
            <w:pPr>
              <w:pStyle w:val="10"/>
              <w:spacing w:before="286" w:line="448" w:lineRule="exact"/>
              <w:ind w:left="1192"/>
              <w:rPr>
                <w:rFonts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641" w:type="dxa"/>
          </w:tcPr>
          <w:p>
            <w:pPr>
              <w:pStyle w:val="10"/>
              <w:spacing w:before="286" w:line="448" w:lineRule="exact"/>
              <w:ind w:left="1167"/>
              <w:jc w:val="center"/>
              <w:rPr>
                <w:rFonts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2993" w:type="dxa"/>
          </w:tcPr>
          <w:p>
            <w:pPr>
              <w:pStyle w:val="10"/>
              <w:spacing w:before="214" w:line="229" w:lineRule="auto"/>
              <w:ind w:left="3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pacing w:val="-2"/>
                <w:sz w:val="28"/>
                <w:szCs w:val="28"/>
              </w:rPr>
              <w:t>五、固定资产净值</w:t>
            </w:r>
          </w:p>
        </w:tc>
        <w:tc>
          <w:tcPr>
            <w:tcW w:w="2689" w:type="dxa"/>
          </w:tcPr>
          <w:p>
            <w:pPr>
              <w:pStyle w:val="10"/>
              <w:spacing w:before="215" w:line="448" w:lineRule="exact"/>
              <w:ind w:left="1192"/>
              <w:rPr>
                <w:rFonts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position w:val="3"/>
                <w:sz w:val="28"/>
                <w:szCs w:val="28"/>
                <w:lang w:eastAsia="zh-CN"/>
              </w:rPr>
              <w:t>854</w:t>
            </w:r>
          </w:p>
        </w:tc>
        <w:tc>
          <w:tcPr>
            <w:tcW w:w="2641" w:type="dxa"/>
          </w:tcPr>
          <w:p>
            <w:pPr>
              <w:pStyle w:val="10"/>
              <w:spacing w:before="215" w:line="448" w:lineRule="exact"/>
              <w:ind w:left="1167"/>
              <w:rPr>
                <w:rFonts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position w:val="3"/>
                <w:sz w:val="28"/>
                <w:szCs w:val="28"/>
                <w:lang w:eastAsia="zh-CN"/>
              </w:rPr>
              <w:t>960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993" w:type="dxa"/>
          </w:tcPr>
          <w:p>
            <w:pPr>
              <w:pStyle w:val="10"/>
              <w:spacing w:before="134" w:line="229" w:lineRule="auto"/>
              <w:ind w:left="28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pacing w:val="6"/>
                <w:sz w:val="28"/>
                <w:szCs w:val="28"/>
              </w:rPr>
              <w:t>六、无形资产净值</w:t>
            </w:r>
          </w:p>
        </w:tc>
        <w:tc>
          <w:tcPr>
            <w:tcW w:w="2689" w:type="dxa"/>
          </w:tcPr>
          <w:p>
            <w:pPr>
              <w:pStyle w:val="10"/>
              <w:spacing w:before="135" w:line="419" w:lineRule="exact"/>
              <w:ind w:left="1192"/>
              <w:rPr>
                <w:rFonts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position w:val="2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641" w:type="dxa"/>
          </w:tcPr>
          <w:p>
            <w:pPr>
              <w:pStyle w:val="10"/>
              <w:spacing w:before="135" w:line="419" w:lineRule="exact"/>
              <w:ind w:left="1167"/>
              <w:rPr>
                <w:rFonts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position w:val="2"/>
                <w:sz w:val="28"/>
                <w:szCs w:val="28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993" w:type="dxa"/>
          </w:tcPr>
          <w:p>
            <w:pPr>
              <w:pStyle w:val="10"/>
              <w:spacing w:before="144" w:line="225" w:lineRule="auto"/>
              <w:ind w:left="31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pacing w:val="2"/>
                <w:sz w:val="28"/>
                <w:szCs w:val="28"/>
              </w:rPr>
              <w:t>七、存货</w:t>
            </w:r>
          </w:p>
        </w:tc>
        <w:tc>
          <w:tcPr>
            <w:tcW w:w="2689" w:type="dxa"/>
          </w:tcPr>
          <w:p>
            <w:pPr>
              <w:pStyle w:val="10"/>
              <w:spacing w:before="144" w:line="430" w:lineRule="exact"/>
              <w:ind w:left="1192"/>
              <w:rPr>
                <w:rFonts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position w:val="2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641" w:type="dxa"/>
          </w:tcPr>
          <w:p>
            <w:pPr>
              <w:pStyle w:val="10"/>
              <w:spacing w:before="144" w:line="430" w:lineRule="exact"/>
              <w:ind w:left="1167"/>
              <w:rPr>
                <w:rFonts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position w:val="2"/>
                <w:sz w:val="28"/>
                <w:szCs w:val="28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993" w:type="dxa"/>
          </w:tcPr>
          <w:p>
            <w:pPr>
              <w:pStyle w:val="10"/>
              <w:spacing w:before="158" w:line="228" w:lineRule="auto"/>
              <w:ind w:left="1205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pacing w:val="-6"/>
                <w:sz w:val="28"/>
                <w:szCs w:val="28"/>
              </w:rPr>
              <w:t>合计</w:t>
            </w:r>
          </w:p>
        </w:tc>
        <w:tc>
          <w:tcPr>
            <w:tcW w:w="2689" w:type="dxa"/>
          </w:tcPr>
          <w:p>
            <w:pPr>
              <w:pStyle w:val="10"/>
              <w:spacing w:before="158" w:line="444" w:lineRule="exact"/>
              <w:ind w:left="1192"/>
              <w:rPr>
                <w:rFonts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position w:val="3"/>
                <w:sz w:val="28"/>
                <w:szCs w:val="28"/>
                <w:lang w:eastAsia="zh-CN"/>
              </w:rPr>
              <w:t>1276</w:t>
            </w:r>
          </w:p>
        </w:tc>
        <w:tc>
          <w:tcPr>
            <w:tcW w:w="2641" w:type="dxa"/>
          </w:tcPr>
          <w:p>
            <w:pPr>
              <w:pStyle w:val="10"/>
              <w:spacing w:before="158" w:line="444" w:lineRule="exact"/>
              <w:ind w:left="1167"/>
              <w:rPr>
                <w:rFonts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position w:val="3"/>
                <w:sz w:val="28"/>
                <w:szCs w:val="28"/>
                <w:lang w:eastAsia="zh-CN"/>
              </w:rPr>
              <w:t>960</w:t>
            </w:r>
          </w:p>
        </w:tc>
      </w:tr>
    </w:tbl>
    <w:p>
      <w:pPr>
        <w:ind w:firstLine="562" w:firstLineChars="20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（二）部门履职总体目标、工作任务</w:t>
      </w:r>
    </w:p>
    <w:p>
      <w:pPr>
        <w:ind w:firstLine="843" w:firstLineChars="300"/>
        <w:rPr>
          <w:rFonts w:cs="仿宋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1.部门 2023年总体目标</w:t>
      </w:r>
    </w:p>
    <w:p>
      <w:pPr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（二）当年部门履职总体目标、工作任务</w:t>
      </w:r>
    </w:p>
    <w:p>
      <w:pPr>
        <w:ind w:firstLine="840" w:firstLineChars="3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1.构建基础平台，完善各项机制</w:t>
      </w:r>
    </w:p>
    <w:p>
      <w:pPr>
        <w:ind w:firstLine="840" w:firstLineChars="3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2.围绕中心工作，充分发挥代表作用</w:t>
      </w:r>
    </w:p>
    <w:p>
      <w:pPr>
        <w:ind w:firstLine="840" w:firstLineChars="3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3.坚持民生导向，切实增强监督实效</w:t>
      </w:r>
    </w:p>
    <w:p>
      <w:pPr>
        <w:ind w:firstLine="840" w:firstLineChars="3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4.强化自身建设，不断提高履职能力</w:t>
      </w:r>
    </w:p>
    <w:p>
      <w:pPr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（三）当年部门年度整体支出绩效目标</w:t>
      </w:r>
    </w:p>
    <w:p>
      <w:pPr>
        <w:ind w:firstLine="840" w:firstLineChars="3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1.保障单位人员经费和公用经费支出</w:t>
      </w:r>
    </w:p>
    <w:p>
      <w:pPr>
        <w:ind w:firstLine="840" w:firstLineChars="3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2.维护乡村两级正常运转，社会和谐稳定</w:t>
      </w:r>
    </w:p>
    <w:p>
      <w:pPr>
        <w:ind w:firstLine="840" w:firstLineChars="3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3.引进总部企业18家</w:t>
      </w:r>
    </w:p>
    <w:p>
      <w:pPr>
        <w:ind w:firstLine="843" w:firstLineChars="300"/>
        <w:rPr>
          <w:rFonts w:cs="仿宋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（四）部门预算绩效管理开展情况。</w:t>
      </w:r>
    </w:p>
    <w:p>
      <w:pPr>
        <w:ind w:firstLine="840" w:firstLineChars="30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1、成立绩效评价工作小组</w:t>
      </w:r>
    </w:p>
    <w:p>
      <w:pPr>
        <w:ind w:firstLine="840" w:firstLineChars="30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，根据《江西省财政厅关于做好2024年省级预算绩效管理工作的通知》（赣财绩〔2024〕3 号）、《景德镇市财政局关于做好 2024 年度预算绩效管理工作通知》（景财监〔2024〕2 号）、《浮梁县财政局2024 年县级预算绩效管理工作的通知》（浮财绩字〔2024〕2 号）等文件要求，我乡成立了 2023年度财政整体支出及项目支出绩效评价小组，由评价小组制定绩效评价实施方案。</w:t>
      </w:r>
    </w:p>
    <w:p>
      <w:pPr>
        <w:ind w:firstLine="840" w:firstLineChars="30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2、确定绩效评价目的、对象和范围。</w:t>
      </w:r>
    </w:p>
    <w:p>
      <w:pPr>
        <w:ind w:firstLine="840" w:firstLineChars="30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（1）绩效评价目的，评估项目成功度，提高项目绩效，提供反馈和改进措施。</w:t>
      </w:r>
    </w:p>
    <w:p>
      <w:pPr>
        <w:ind w:firstLine="840" w:firstLineChars="30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（2）对象和范围，乡域内年度实施的项目</w:t>
      </w:r>
    </w:p>
    <w:p>
      <w:pPr>
        <w:ind w:firstLine="843" w:firstLineChars="300"/>
        <w:rPr>
          <w:rFonts w:cs="仿宋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（五）当年部门预算及执行情况。</w:t>
      </w:r>
    </w:p>
    <w:p>
      <w:pPr>
        <w:ind w:firstLine="548" w:firstLineChars="196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全年预算收入决算数5385万元，全年决算支出数共计4140 万元，</w:t>
      </w:r>
      <w:r>
        <w:rPr>
          <w:rFonts w:hint="eastAsia" w:asciiTheme="majorEastAsia" w:hAnsiTheme="majorEastAsia" w:eastAsiaTheme="majorEastAsia"/>
          <w:sz w:val="28"/>
          <w:szCs w:val="28"/>
        </w:rPr>
        <w:t>执行率76.88%。资金支出分为基本支出和项目支出。基本支出全年预算数为518万元，全年执行数为505万元，执行率97.49%；项目支出全年4867万元，全年执行数为3635万元，执行率74.68%。</w:t>
      </w:r>
    </w:p>
    <w:p>
      <w:pPr>
        <w:ind w:firstLine="560" w:firstLineChars="200"/>
        <w:jc w:val="center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1.全年预算收入的具体构成：一般公共预算财政拨款收 入4455万元， 占82.72%；政府性基金预算财政拨款收入539万元，约占10%；年初结转结余391万元， 占7.3%。</w:t>
      </w:r>
    </w:p>
    <w:p>
      <w:pPr>
        <w:ind w:firstLine="560" w:firstLineChars="20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部门年度预算收入指标如下表：</w:t>
      </w:r>
    </w:p>
    <w:tbl>
      <w:tblPr>
        <w:tblStyle w:val="9"/>
        <w:tblW w:w="85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0"/>
        <w:gridCol w:w="26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85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4" w:line="229" w:lineRule="auto"/>
              <w:ind w:left="2625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项目</w:t>
            </w:r>
          </w:p>
        </w:tc>
        <w:tc>
          <w:tcPr>
            <w:tcW w:w="2658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9" w:line="229" w:lineRule="auto"/>
              <w:ind w:left="385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4"/>
                <w:kern w:val="0"/>
                <w:sz w:val="28"/>
                <w:szCs w:val="28"/>
                <w:lang w:eastAsia="en-US"/>
              </w:rPr>
              <w:t>金额（万元）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585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2" w:line="227" w:lineRule="auto"/>
              <w:ind w:left="132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一、年初批复部门预算总收入</w:t>
            </w:r>
          </w:p>
        </w:tc>
        <w:tc>
          <w:tcPr>
            <w:tcW w:w="2658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5" w:line="426" w:lineRule="exact"/>
              <w:ind w:left="1176"/>
              <w:jc w:val="center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1213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585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2" w:line="227" w:lineRule="auto"/>
              <w:ind w:left="130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8"/>
                <w:kern w:val="0"/>
                <w:sz w:val="28"/>
                <w:szCs w:val="28"/>
              </w:rPr>
              <w:t>其中：一般公共预算财政拨款收入</w:t>
            </w:r>
          </w:p>
        </w:tc>
        <w:tc>
          <w:tcPr>
            <w:tcW w:w="2658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7" w:line="424" w:lineRule="exact"/>
              <w:ind w:left="1176"/>
              <w:jc w:val="center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1213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585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2" w:line="227" w:lineRule="auto"/>
              <w:ind w:left="138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5"/>
                <w:kern w:val="0"/>
                <w:sz w:val="28"/>
                <w:szCs w:val="28"/>
                <w:lang w:eastAsia="en-US"/>
              </w:rPr>
              <w:t>二、年内追加预算</w:t>
            </w:r>
          </w:p>
        </w:tc>
        <w:tc>
          <w:tcPr>
            <w:tcW w:w="2658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7" w:line="425" w:lineRule="exact"/>
              <w:ind w:left="1176"/>
              <w:jc w:val="center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position w:val="2"/>
                <w:sz w:val="28"/>
                <w:szCs w:val="28"/>
              </w:rPr>
              <w:t>3781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585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3" w:line="227" w:lineRule="auto"/>
              <w:ind w:left="130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8"/>
                <w:kern w:val="0"/>
                <w:sz w:val="28"/>
                <w:szCs w:val="28"/>
              </w:rPr>
              <w:t>其中：一般公共预算财政拨款追加预算</w:t>
            </w:r>
          </w:p>
        </w:tc>
        <w:tc>
          <w:tcPr>
            <w:tcW w:w="2658" w:type="dxa"/>
          </w:tcPr>
          <w:p>
            <w:pPr>
              <w:pStyle w:val="13"/>
              <w:spacing w:before="99"/>
              <w:ind w:left="665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3242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585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2" w:line="226" w:lineRule="auto"/>
              <w:ind w:left="945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8"/>
                <w:kern w:val="0"/>
                <w:sz w:val="28"/>
                <w:szCs w:val="28"/>
              </w:rPr>
              <w:t>政府性基金预算财政拨款追加预算</w:t>
            </w:r>
          </w:p>
        </w:tc>
        <w:tc>
          <w:tcPr>
            <w:tcW w:w="2658" w:type="dxa"/>
          </w:tcPr>
          <w:p>
            <w:pPr>
              <w:pStyle w:val="13"/>
              <w:spacing w:before="191"/>
              <w:ind w:left="665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539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585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5" w:line="224" w:lineRule="auto"/>
              <w:ind w:left="136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6"/>
                <w:kern w:val="0"/>
                <w:sz w:val="28"/>
                <w:szCs w:val="28"/>
                <w:lang w:eastAsia="en-US"/>
              </w:rPr>
              <w:t>三、年初结转结余</w:t>
            </w:r>
          </w:p>
        </w:tc>
        <w:tc>
          <w:tcPr>
            <w:tcW w:w="2658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8" w:line="423" w:lineRule="exact"/>
              <w:ind w:left="1176"/>
              <w:jc w:val="center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391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85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4" w:line="227" w:lineRule="auto"/>
              <w:ind w:left="165"/>
              <w:jc w:val="left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cs="仿宋" w:asciiTheme="majorEastAsia" w:hAnsiTheme="majorEastAsia" w:eastAsiaTheme="majorEastAsia"/>
                <w:snapToGrid w:val="0"/>
                <w:color w:val="000000"/>
                <w:spacing w:val="4"/>
                <w:kern w:val="0"/>
                <w:sz w:val="28"/>
                <w:szCs w:val="28"/>
              </w:rPr>
              <w:t>四、全年预算收入总计</w:t>
            </w:r>
          </w:p>
        </w:tc>
        <w:tc>
          <w:tcPr>
            <w:tcW w:w="2658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0" w:line="426" w:lineRule="exact"/>
              <w:ind w:left="1176"/>
              <w:jc w:val="center"/>
              <w:textAlignment w:val="baseline"/>
              <w:rPr>
                <w:rFonts w:cs="仿宋" w:asciiTheme="majorEastAsia" w:hAnsiTheme="majorEastAsia" w:eastAsiaTheme="maj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napToGrid w:val="0"/>
                <w:color w:val="000000"/>
                <w:kern w:val="0"/>
                <w:position w:val="2"/>
                <w:sz w:val="28"/>
                <w:szCs w:val="28"/>
              </w:rPr>
              <w:t>5385</w:t>
            </w:r>
          </w:p>
        </w:tc>
      </w:tr>
    </w:tbl>
    <w:p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2、资金支出分为基本支出和项目支出。基本支出执行数为505万元（其中：人员支出492万元，日常公用支出13万元），执行率97.49%；项目支出执行数为3635万元，执行率74.68%。</w:t>
      </w:r>
    </w:p>
    <w:p>
      <w:pPr>
        <w:ind w:firstLine="1400" w:firstLineChars="50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全年支出决算数指标如下表</w:t>
      </w:r>
    </w:p>
    <w:tbl>
      <w:tblPr>
        <w:tblStyle w:val="7"/>
        <w:tblW w:w="8294" w:type="dxa"/>
        <w:tblInd w:w="8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5"/>
        <w:gridCol w:w="39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325" w:type="dxa"/>
          </w:tcPr>
          <w:p>
            <w:pPr>
              <w:pStyle w:val="13"/>
              <w:spacing w:before="92"/>
              <w:ind w:left="19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sz w:val="28"/>
                <w:szCs w:val="28"/>
              </w:rPr>
              <w:t>项目</w:t>
            </w:r>
          </w:p>
        </w:tc>
        <w:tc>
          <w:tcPr>
            <w:tcW w:w="3969" w:type="dxa"/>
          </w:tcPr>
          <w:p>
            <w:pPr>
              <w:pStyle w:val="13"/>
              <w:spacing w:before="92"/>
              <w:ind w:left="20" w:right="4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金额：万元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325" w:type="dxa"/>
          </w:tcPr>
          <w:p>
            <w:pPr>
              <w:pStyle w:val="13"/>
              <w:spacing w:before="93"/>
              <w:ind w:left="19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1</w:t>
            </w:r>
            <w:r>
              <w:rPr>
                <w:rFonts w:hint="eastAsia" w:cs="仿宋" w:asciiTheme="majorEastAsia" w:hAnsiTheme="majorEastAsia" w:eastAsiaTheme="majorEastAsia"/>
                <w:spacing w:val="-2"/>
                <w:sz w:val="28"/>
                <w:szCs w:val="28"/>
              </w:rPr>
              <w:t>、基本支出</w:t>
            </w:r>
          </w:p>
        </w:tc>
        <w:tc>
          <w:tcPr>
            <w:tcW w:w="3969" w:type="dxa"/>
          </w:tcPr>
          <w:p>
            <w:pPr>
              <w:pStyle w:val="13"/>
              <w:spacing w:before="55"/>
              <w:ind w:left="20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505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325" w:type="dxa"/>
          </w:tcPr>
          <w:p>
            <w:pPr>
              <w:pStyle w:val="13"/>
              <w:spacing w:before="93"/>
              <w:ind w:left="19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（1）</w:t>
            </w:r>
            <w:r>
              <w:rPr>
                <w:rFonts w:hint="eastAsia" w:cs="仿宋" w:asciiTheme="majorEastAsia" w:hAnsiTheme="majorEastAsia" w:eastAsiaTheme="majorEastAsia"/>
                <w:spacing w:val="-3"/>
                <w:sz w:val="28"/>
                <w:szCs w:val="28"/>
              </w:rPr>
              <w:t>人员经费</w:t>
            </w:r>
          </w:p>
        </w:tc>
        <w:tc>
          <w:tcPr>
            <w:tcW w:w="3969" w:type="dxa"/>
          </w:tcPr>
          <w:p>
            <w:pPr>
              <w:pStyle w:val="13"/>
              <w:spacing w:before="55"/>
              <w:ind w:left="20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492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325" w:type="dxa"/>
          </w:tcPr>
          <w:p>
            <w:pPr>
              <w:pStyle w:val="13"/>
              <w:spacing w:before="93"/>
              <w:ind w:left="19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（2）</w:t>
            </w:r>
            <w:r>
              <w:rPr>
                <w:rFonts w:hint="eastAsia" w:cs="仿宋" w:asciiTheme="majorEastAsia" w:hAnsiTheme="majorEastAsia" w:eastAsiaTheme="majorEastAsia"/>
                <w:spacing w:val="-2"/>
                <w:sz w:val="28"/>
                <w:szCs w:val="28"/>
              </w:rPr>
              <w:t>日常公用经费</w:t>
            </w:r>
          </w:p>
        </w:tc>
        <w:tc>
          <w:tcPr>
            <w:tcW w:w="3969" w:type="dxa"/>
          </w:tcPr>
          <w:p>
            <w:pPr>
              <w:pStyle w:val="13"/>
              <w:spacing w:before="56"/>
              <w:ind w:left="20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325" w:type="dxa"/>
          </w:tcPr>
          <w:p>
            <w:pPr>
              <w:pStyle w:val="13"/>
              <w:spacing w:before="91"/>
              <w:ind w:left="19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2</w:t>
            </w:r>
            <w:r>
              <w:rPr>
                <w:rFonts w:hint="eastAsia" w:cs="仿宋" w:asciiTheme="majorEastAsia" w:hAnsiTheme="majorEastAsia" w:eastAsiaTheme="majorEastAsia"/>
                <w:spacing w:val="-2"/>
                <w:sz w:val="28"/>
                <w:szCs w:val="28"/>
              </w:rPr>
              <w:t>、项目支出</w:t>
            </w:r>
          </w:p>
        </w:tc>
        <w:tc>
          <w:tcPr>
            <w:tcW w:w="3969" w:type="dxa"/>
          </w:tcPr>
          <w:p>
            <w:pPr>
              <w:pStyle w:val="13"/>
              <w:spacing w:before="56"/>
              <w:ind w:left="20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3635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4325" w:type="dxa"/>
          </w:tcPr>
          <w:p>
            <w:pPr>
              <w:pStyle w:val="13"/>
              <w:spacing w:before="156"/>
              <w:ind w:left="19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sz w:val="28"/>
                <w:szCs w:val="28"/>
              </w:rPr>
              <w:t>合计</w:t>
            </w:r>
          </w:p>
        </w:tc>
        <w:tc>
          <w:tcPr>
            <w:tcW w:w="3969" w:type="dxa"/>
          </w:tcPr>
          <w:p>
            <w:pPr>
              <w:pStyle w:val="13"/>
              <w:spacing w:before="121"/>
              <w:ind w:left="20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4140</w:t>
            </w:r>
          </w:p>
        </w:tc>
      </w:tr>
    </w:tbl>
    <w:p>
      <w:pPr>
        <w:ind w:firstLine="141" w:firstLineChars="50"/>
        <w:rPr>
          <w:rFonts w:cs="仿宋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二、评价开展情况</w:t>
      </w:r>
    </w:p>
    <w:p>
      <w:pPr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（一）评价的目的和思路</w:t>
      </w:r>
    </w:p>
    <w:p>
      <w:pPr>
        <w:ind w:firstLine="560" w:firstLineChars="20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通过开展部门绩效评价工作，全面了解***，总结经验、 发现问题、解决问题、加强管理，保证项目的规范性、安全性 和有效性。总的来讲 ，绩效评价的目的就是预算编制有目标、预算执行有监控、预算完成有评价、评价结果有反馈、反馈结果有应用。</w:t>
      </w:r>
    </w:p>
    <w:p>
      <w:pPr>
        <w:ind w:firstLine="562" w:firstLineChars="200"/>
        <w:rPr>
          <w:rFonts w:cs="仿宋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（二）评价的方法和体系</w:t>
      </w:r>
    </w:p>
    <w:p>
      <w:pPr>
        <w:ind w:firstLine="562" w:firstLineChars="200"/>
        <w:rPr>
          <w:rFonts w:cs="仿宋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1.评价方法</w:t>
      </w:r>
    </w:p>
    <w:p>
      <w:pPr>
        <w:ind w:firstLine="560" w:firstLineChars="20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本次评价方法主要采用比较分析法，将预期目标与实际 结果进行比较，并以案卷研究、现场核验、满意度调查等形 式开展绩效评价。评价标准主要为计划标准，即以预先制定</w:t>
      </w:r>
    </w:p>
    <w:p>
      <w:pPr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的目标、计划等数据作为评价的标准。</w:t>
      </w:r>
    </w:p>
    <w:p>
      <w:pPr>
        <w:ind w:firstLine="562" w:firstLineChars="200"/>
        <w:rPr>
          <w:rFonts w:cs="仿宋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2.评价指标体系</w:t>
      </w:r>
    </w:p>
    <w:p>
      <w:pPr>
        <w:ind w:firstLine="560" w:firstLineChars="20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《江西省财政厅关于印发〈江西省省级项目支出和部门 整体支出绩效评价管理暂行办法 〉 的通知 》 （赣财绩 〔2022〕9 号）等文件，评价指标包括一级指标6个，二级指标 8个，三级指标19个。（具体详见附件：2023年度兴田乡部门整体支出绩效评价指标体系及评分表）</w:t>
      </w:r>
    </w:p>
    <w:p>
      <w:pPr>
        <w:ind w:firstLine="562" w:firstLineChars="20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（三）评价实施过程</w:t>
      </w:r>
    </w:p>
    <w:p>
      <w:pPr>
        <w:spacing w:before="117" w:line="276" w:lineRule="auto"/>
        <w:ind w:left="122" w:right="301" w:firstLine="561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由主要领导带队，组织对口职能部门到实地项目点及有关项目资料进行对照评价，评价资料整理出后，评价小组按照评价方案的要求进行评价工作，并作出评价的初步结论，该结论经评价单位审核后作为提交评价报告的依据。如果在评价工作中遇到疑难问题，可以聘请有关专家予以论证。根据评价过程中形成的初步结论，按照正式的格式，撰写评价报告。</w:t>
      </w:r>
    </w:p>
    <w:p>
      <w:pPr>
        <w:ind w:firstLine="562" w:firstLineChars="20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三、评价总体结论</w:t>
      </w:r>
    </w:p>
    <w:p>
      <w:pPr>
        <w:ind w:firstLine="281" w:firstLineChars="10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（一）评价得分情况</w:t>
      </w:r>
    </w:p>
    <w:p>
      <w:pPr>
        <w:ind w:firstLine="560" w:firstLineChars="200"/>
        <w:jc w:val="left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 xml:space="preserve">通过对兴田乡整体支出绩效进行绩效评价，评价小组认为项目立项依据充分、立项程序规范，资金使用合规。通过对项目产出、效益、满意度指标进行评价，综合项目预算执行和绩效指标值完成情况，得分93.56分，绩效评价等级为“优”。评价得分如下表： </w:t>
      </w:r>
    </w:p>
    <w:tbl>
      <w:tblPr>
        <w:tblStyle w:val="7"/>
        <w:tblW w:w="0" w:type="auto"/>
        <w:tblInd w:w="8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211"/>
        <w:gridCol w:w="1417"/>
        <w:gridCol w:w="1417"/>
        <w:gridCol w:w="1417"/>
        <w:gridCol w:w="14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23" w:type="dxa"/>
          </w:tcPr>
          <w:p>
            <w:pPr>
              <w:pStyle w:val="13"/>
              <w:spacing w:before="116" w:line="463" w:lineRule="exact"/>
              <w:ind w:left="21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4"/>
                <w:sz w:val="28"/>
                <w:szCs w:val="28"/>
              </w:rPr>
              <w:t>评价指标</w:t>
            </w:r>
          </w:p>
        </w:tc>
        <w:tc>
          <w:tcPr>
            <w:tcW w:w="1211" w:type="dxa"/>
          </w:tcPr>
          <w:p>
            <w:pPr>
              <w:pStyle w:val="13"/>
              <w:spacing w:before="116" w:line="463" w:lineRule="exact"/>
              <w:ind w:left="21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6"/>
                <w:sz w:val="28"/>
                <w:szCs w:val="28"/>
              </w:rPr>
              <w:t>权重</w:t>
            </w:r>
          </w:p>
        </w:tc>
        <w:tc>
          <w:tcPr>
            <w:tcW w:w="1417" w:type="dxa"/>
          </w:tcPr>
          <w:p>
            <w:pPr>
              <w:pStyle w:val="13"/>
              <w:spacing w:before="116" w:line="463" w:lineRule="exact"/>
              <w:ind w:left="21" w:right="5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4"/>
                <w:sz w:val="28"/>
                <w:szCs w:val="28"/>
              </w:rPr>
              <w:t>评级分值</w:t>
            </w:r>
          </w:p>
        </w:tc>
        <w:tc>
          <w:tcPr>
            <w:tcW w:w="1417" w:type="dxa"/>
          </w:tcPr>
          <w:p>
            <w:pPr>
              <w:pStyle w:val="13"/>
              <w:spacing w:before="116" w:line="463" w:lineRule="exact"/>
              <w:ind w:left="21" w:right="2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4"/>
                <w:sz w:val="28"/>
                <w:szCs w:val="28"/>
              </w:rPr>
              <w:t>评价得分</w:t>
            </w:r>
          </w:p>
        </w:tc>
        <w:tc>
          <w:tcPr>
            <w:tcW w:w="1417" w:type="dxa"/>
          </w:tcPr>
          <w:p>
            <w:pPr>
              <w:pStyle w:val="13"/>
              <w:spacing w:before="116" w:line="463" w:lineRule="exact"/>
              <w:ind w:left="21" w:right="2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sz w:val="28"/>
                <w:szCs w:val="28"/>
              </w:rPr>
              <w:t>得分率</w:t>
            </w:r>
          </w:p>
        </w:tc>
        <w:tc>
          <w:tcPr>
            <w:tcW w:w="1417" w:type="dxa"/>
          </w:tcPr>
          <w:p>
            <w:pPr>
              <w:pStyle w:val="13"/>
              <w:spacing w:before="116" w:line="463" w:lineRule="exact"/>
              <w:ind w:left="21" w:right="1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4"/>
                <w:sz w:val="28"/>
                <w:szCs w:val="28"/>
              </w:rPr>
              <w:t>得分等级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23" w:type="dxa"/>
          </w:tcPr>
          <w:p>
            <w:pPr>
              <w:pStyle w:val="13"/>
              <w:spacing w:before="118" w:line="462" w:lineRule="exact"/>
              <w:ind w:left="21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4"/>
                <w:sz w:val="28"/>
                <w:szCs w:val="28"/>
              </w:rPr>
              <w:t>管理指标</w:t>
            </w:r>
          </w:p>
        </w:tc>
        <w:tc>
          <w:tcPr>
            <w:tcW w:w="1211" w:type="dxa"/>
          </w:tcPr>
          <w:p>
            <w:pPr>
              <w:pStyle w:val="13"/>
              <w:spacing w:before="118" w:line="462" w:lineRule="exact"/>
              <w:ind w:left="21" w:right="1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>
            <w:pPr>
              <w:pStyle w:val="13"/>
              <w:spacing w:before="118" w:line="462" w:lineRule="exact"/>
              <w:ind w:left="21" w:right="4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>
            <w:pPr>
              <w:pStyle w:val="13"/>
              <w:spacing w:before="118" w:line="462" w:lineRule="exact"/>
              <w:ind w:left="21" w:right="1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>
            <w:pPr>
              <w:pStyle w:val="13"/>
              <w:spacing w:before="118" w:line="360" w:lineRule="auto"/>
              <w:ind w:left="21" w:right="3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50%</w:t>
            </w:r>
          </w:p>
        </w:tc>
        <w:tc>
          <w:tcPr>
            <w:tcW w:w="1417" w:type="dxa"/>
          </w:tcPr>
          <w:p>
            <w:pPr>
              <w:pStyle w:val="13"/>
              <w:spacing w:before="118" w:line="462" w:lineRule="exact"/>
              <w:ind w:left="21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23" w:type="dxa"/>
          </w:tcPr>
          <w:p>
            <w:pPr>
              <w:pStyle w:val="13"/>
              <w:spacing w:before="117" w:line="463" w:lineRule="exact"/>
              <w:ind w:left="21"/>
              <w:jc w:val="center"/>
              <w:rPr>
                <w:rFonts w:cs="仿宋" w:asciiTheme="majorEastAsia" w:hAnsiTheme="majorEastAsia" w:eastAsiaTheme="majorEastAsia"/>
                <w:spacing w:val="-4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4"/>
                <w:sz w:val="28"/>
                <w:szCs w:val="28"/>
              </w:rPr>
              <w:t>成本指标</w:t>
            </w:r>
          </w:p>
        </w:tc>
        <w:tc>
          <w:tcPr>
            <w:tcW w:w="1211" w:type="dxa"/>
          </w:tcPr>
          <w:p>
            <w:pPr>
              <w:pStyle w:val="13"/>
              <w:spacing w:before="117" w:line="463" w:lineRule="exact"/>
              <w:ind w:left="21" w:right="1"/>
              <w:jc w:val="center"/>
              <w:rPr>
                <w:rFonts w:cs="仿宋" w:asciiTheme="majorEastAsia" w:hAnsiTheme="majorEastAsia" w:eastAsiaTheme="majorEastAsia"/>
                <w:spacing w:val="-5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>
            <w:pPr>
              <w:pStyle w:val="13"/>
              <w:spacing w:before="117" w:line="463" w:lineRule="exact"/>
              <w:ind w:left="21" w:right="4"/>
              <w:jc w:val="center"/>
              <w:rPr>
                <w:rFonts w:cs="仿宋" w:asciiTheme="majorEastAsia" w:hAnsiTheme="majorEastAsia" w:eastAsiaTheme="majorEastAsia"/>
                <w:spacing w:val="-5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>
            <w:pPr>
              <w:pStyle w:val="13"/>
              <w:spacing w:before="117" w:line="463" w:lineRule="exact"/>
              <w:ind w:left="21" w:right="1"/>
              <w:jc w:val="center"/>
              <w:rPr>
                <w:rFonts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>
            <w:pPr>
              <w:pStyle w:val="13"/>
              <w:spacing w:before="117" w:line="463" w:lineRule="exact"/>
              <w:ind w:left="21" w:right="3"/>
              <w:jc w:val="center"/>
              <w:rPr>
                <w:rFonts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>
            <w:pPr>
              <w:pStyle w:val="13"/>
              <w:spacing w:before="117" w:line="463" w:lineRule="exact"/>
              <w:ind w:left="21"/>
              <w:jc w:val="center"/>
              <w:rPr>
                <w:rFonts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23" w:type="dxa"/>
          </w:tcPr>
          <w:p>
            <w:pPr>
              <w:pStyle w:val="13"/>
              <w:spacing w:before="117" w:line="463" w:lineRule="exact"/>
              <w:ind w:left="21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4"/>
                <w:sz w:val="28"/>
                <w:szCs w:val="28"/>
              </w:rPr>
              <w:t>产出指标</w:t>
            </w:r>
          </w:p>
        </w:tc>
        <w:tc>
          <w:tcPr>
            <w:tcW w:w="1211" w:type="dxa"/>
          </w:tcPr>
          <w:p>
            <w:pPr>
              <w:pStyle w:val="13"/>
              <w:spacing w:before="117" w:line="463" w:lineRule="exact"/>
              <w:ind w:left="21" w:right="1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>
            <w:pPr>
              <w:pStyle w:val="13"/>
              <w:spacing w:before="117" w:line="463" w:lineRule="exact"/>
              <w:ind w:left="21" w:right="4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>
            <w:pPr>
              <w:pStyle w:val="13"/>
              <w:spacing w:before="117" w:line="463" w:lineRule="exact"/>
              <w:ind w:left="21" w:right="1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38.56</w:t>
            </w:r>
          </w:p>
        </w:tc>
        <w:tc>
          <w:tcPr>
            <w:tcW w:w="1417" w:type="dxa"/>
          </w:tcPr>
          <w:p>
            <w:pPr>
              <w:pStyle w:val="13"/>
              <w:spacing w:before="117" w:line="463" w:lineRule="exact"/>
              <w:ind w:left="21" w:right="3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96.4%</w:t>
            </w:r>
          </w:p>
        </w:tc>
        <w:tc>
          <w:tcPr>
            <w:tcW w:w="1417" w:type="dxa"/>
          </w:tcPr>
          <w:p>
            <w:pPr>
              <w:pStyle w:val="13"/>
              <w:spacing w:before="117" w:line="463" w:lineRule="exact"/>
              <w:ind w:left="21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23" w:type="dxa"/>
          </w:tcPr>
          <w:p>
            <w:pPr>
              <w:pStyle w:val="13"/>
              <w:spacing w:before="116" w:line="463" w:lineRule="exact"/>
              <w:ind w:left="21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4"/>
                <w:sz w:val="28"/>
                <w:szCs w:val="28"/>
              </w:rPr>
              <w:t>效果指标</w:t>
            </w:r>
          </w:p>
        </w:tc>
        <w:tc>
          <w:tcPr>
            <w:tcW w:w="1211" w:type="dxa"/>
          </w:tcPr>
          <w:p>
            <w:pPr>
              <w:pStyle w:val="13"/>
              <w:spacing w:before="116" w:line="463" w:lineRule="exact"/>
              <w:ind w:left="21" w:right="1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>
            <w:pPr>
              <w:pStyle w:val="13"/>
              <w:spacing w:before="116" w:line="463" w:lineRule="exact"/>
              <w:ind w:left="21" w:right="4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>
            <w:pPr>
              <w:pStyle w:val="13"/>
              <w:spacing w:before="116" w:line="463" w:lineRule="exact"/>
              <w:ind w:left="21" w:right="1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>
            <w:pPr>
              <w:pStyle w:val="13"/>
              <w:spacing w:before="116" w:line="463" w:lineRule="exact"/>
              <w:ind w:left="21" w:right="3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>
            <w:pPr>
              <w:pStyle w:val="13"/>
              <w:spacing w:before="116" w:line="463" w:lineRule="exact"/>
              <w:ind w:left="21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23" w:type="dxa"/>
          </w:tcPr>
          <w:p>
            <w:pPr>
              <w:pStyle w:val="13"/>
              <w:spacing w:before="118" w:line="462" w:lineRule="exact"/>
              <w:ind w:left="21" w:right="3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4"/>
                <w:sz w:val="28"/>
                <w:szCs w:val="28"/>
              </w:rPr>
              <w:t>满意度指标</w:t>
            </w:r>
          </w:p>
        </w:tc>
        <w:tc>
          <w:tcPr>
            <w:tcW w:w="1211" w:type="dxa"/>
          </w:tcPr>
          <w:p>
            <w:pPr>
              <w:pStyle w:val="13"/>
              <w:spacing w:before="118" w:line="462" w:lineRule="exact"/>
              <w:ind w:left="21" w:right="1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>
            <w:pPr>
              <w:pStyle w:val="13"/>
              <w:spacing w:before="118" w:line="462" w:lineRule="exact"/>
              <w:ind w:left="21" w:right="4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>
            <w:pPr>
              <w:pStyle w:val="13"/>
              <w:spacing w:before="118" w:line="462" w:lineRule="exact"/>
              <w:ind w:left="21" w:right="1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>
            <w:pPr>
              <w:pStyle w:val="13"/>
              <w:spacing w:before="118" w:line="462" w:lineRule="exact"/>
              <w:ind w:left="21" w:right="3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>
            <w:pPr>
              <w:pStyle w:val="13"/>
              <w:spacing w:before="118" w:line="462" w:lineRule="exact"/>
              <w:ind w:left="21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23" w:type="dxa"/>
          </w:tcPr>
          <w:p>
            <w:pPr>
              <w:pStyle w:val="13"/>
              <w:spacing w:before="117" w:line="463" w:lineRule="exact"/>
              <w:ind w:left="21" w:right="3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6"/>
                <w:sz w:val="28"/>
                <w:szCs w:val="28"/>
              </w:rPr>
              <w:t>合计</w:t>
            </w:r>
          </w:p>
        </w:tc>
        <w:tc>
          <w:tcPr>
            <w:tcW w:w="1211" w:type="dxa"/>
          </w:tcPr>
          <w:p>
            <w:pPr>
              <w:pStyle w:val="13"/>
              <w:spacing w:before="117" w:line="463" w:lineRule="exact"/>
              <w:ind w:left="21" w:right="1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>
            <w:pPr>
              <w:pStyle w:val="13"/>
              <w:spacing w:before="117" w:line="463" w:lineRule="exact"/>
              <w:ind w:left="21" w:right="4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>
            <w:pPr>
              <w:pStyle w:val="13"/>
              <w:spacing w:before="117" w:line="463" w:lineRule="exact"/>
              <w:ind w:left="21" w:right="1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93.56</w:t>
            </w:r>
          </w:p>
        </w:tc>
        <w:tc>
          <w:tcPr>
            <w:tcW w:w="1417" w:type="dxa"/>
          </w:tcPr>
          <w:p>
            <w:pPr>
              <w:pStyle w:val="13"/>
              <w:spacing w:before="117" w:line="463" w:lineRule="exact"/>
              <w:ind w:left="21" w:right="3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93.56%</w:t>
            </w:r>
          </w:p>
        </w:tc>
        <w:tc>
          <w:tcPr>
            <w:tcW w:w="1417" w:type="dxa"/>
          </w:tcPr>
          <w:p>
            <w:pPr>
              <w:pStyle w:val="13"/>
              <w:spacing w:before="117" w:line="463" w:lineRule="exact"/>
              <w:ind w:left="21"/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pacing w:val="-5"/>
                <w:w w:val="105"/>
                <w:sz w:val="28"/>
                <w:szCs w:val="28"/>
              </w:rPr>
              <w:t>优</w:t>
            </w:r>
          </w:p>
        </w:tc>
      </w:tr>
    </w:tbl>
    <w:p>
      <w:pPr>
        <w:ind w:firstLine="560" w:firstLineChars="20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具体详见附件： 兴田</w:t>
      </w:r>
      <w:r>
        <w:rPr>
          <w:rFonts w:hint="eastAsia" w:cs="仿宋" w:asciiTheme="majorEastAsia" w:hAnsiTheme="majorEastAsia" w:eastAsiaTheme="majorEastAsia"/>
          <w:sz w:val="28"/>
          <w:szCs w:val="28"/>
          <w:lang w:val="en-US" w:eastAsia="zh-CN"/>
        </w:rPr>
        <w:t>乡2023年</w:t>
      </w:r>
      <w:r>
        <w:rPr>
          <w:rFonts w:hint="eastAsia" w:cs="仿宋" w:asciiTheme="majorEastAsia" w:hAnsiTheme="majorEastAsia" w:eastAsiaTheme="majorEastAsia"/>
          <w:sz w:val="28"/>
          <w:szCs w:val="28"/>
        </w:rPr>
        <w:t>部门整体支出绩效评价指标体系</w:t>
      </w:r>
    </w:p>
    <w:p>
      <w:pPr>
        <w:jc w:val="left"/>
        <w:rPr>
          <w:rFonts w:cs="仿宋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（一）管理指标（分值10 分，实际得分5分）</w:t>
      </w:r>
    </w:p>
    <w:p>
      <w:pPr>
        <w:ind w:firstLine="280" w:firstLineChars="100"/>
        <w:jc w:val="left"/>
        <w:rPr>
          <w:rFonts w:cs="仿宋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Cs/>
          <w:sz w:val="28"/>
          <w:szCs w:val="28"/>
        </w:rPr>
        <w:t>预算执行率（分值 10 分，实际得分5分）</w:t>
      </w:r>
    </w:p>
    <w:p>
      <w:pPr>
        <w:jc w:val="left"/>
        <w:rPr>
          <w:rFonts w:cs="仿宋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（二）履职完成情况（分值 25 分，实际得分20分）</w:t>
      </w:r>
    </w:p>
    <w:p>
      <w:pPr>
        <w:ind w:firstLine="281" w:firstLineChars="100"/>
        <w:jc w:val="left"/>
        <w:rPr>
          <w:rFonts w:cs="仿宋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1、数量指标（分值 20 分，实际得分20分）</w:t>
      </w:r>
    </w:p>
    <w:p>
      <w:pPr>
        <w:ind w:firstLine="280" w:firstLineChars="100"/>
        <w:jc w:val="left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①在编人员（分值 4 分，实际得分4分）</w:t>
      </w:r>
    </w:p>
    <w:p>
      <w:pPr>
        <w:ind w:firstLine="280" w:firstLineChars="100"/>
        <w:jc w:val="left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②购买服务对象（分值 4 分，实际得分4分）</w:t>
      </w:r>
    </w:p>
    <w:p>
      <w:pPr>
        <w:ind w:firstLine="280" w:firstLineChars="100"/>
        <w:jc w:val="left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③临时人员（分值 4 分，实际得分4分）</w:t>
      </w:r>
    </w:p>
    <w:p>
      <w:pPr>
        <w:ind w:firstLine="280" w:firstLineChars="100"/>
        <w:jc w:val="left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④遗属人员（分值 4 分，实际得分4分）</w:t>
      </w:r>
    </w:p>
    <w:p>
      <w:pPr>
        <w:ind w:firstLine="280" w:firstLineChars="100"/>
        <w:jc w:val="left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⑤村级支出（分值 4 分，实际得分4分）</w:t>
      </w:r>
    </w:p>
    <w:p>
      <w:pPr>
        <w:ind w:firstLine="275" w:firstLineChars="98"/>
        <w:jc w:val="left"/>
        <w:rPr>
          <w:rFonts w:cs="仿宋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2、质量指标 （分值10 分，实际得分10分）</w:t>
      </w:r>
    </w:p>
    <w:p>
      <w:pPr>
        <w:ind w:firstLine="411" w:firstLineChars="147"/>
        <w:jc w:val="left"/>
        <w:rPr>
          <w:rFonts w:cs="仿宋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Cs/>
          <w:sz w:val="28"/>
          <w:szCs w:val="28"/>
        </w:rPr>
        <w:t>资金使用规范性（分值10 分，实际得分10分）</w:t>
      </w:r>
    </w:p>
    <w:p>
      <w:pPr>
        <w:ind w:firstLine="275" w:firstLineChars="98"/>
        <w:jc w:val="left"/>
        <w:rPr>
          <w:rFonts w:cs="仿宋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3、时效指标（分值10分，实际得分10分）</w:t>
      </w:r>
    </w:p>
    <w:p>
      <w:pPr>
        <w:ind w:firstLine="420" w:firstLineChars="150"/>
        <w:jc w:val="left"/>
        <w:rPr>
          <w:rFonts w:cs="仿宋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资金使用时间</w:t>
      </w:r>
      <w:r>
        <w:rPr>
          <w:rFonts w:hint="eastAsia" w:cs="仿宋" w:asciiTheme="majorEastAsia" w:hAnsiTheme="majorEastAsia" w:eastAsiaTheme="majorEastAsia"/>
          <w:bCs/>
          <w:sz w:val="28"/>
          <w:szCs w:val="28"/>
        </w:rPr>
        <w:t>（分值10 分，实际得分10分）</w:t>
      </w:r>
    </w:p>
    <w:p>
      <w:pPr>
        <w:ind w:firstLine="275" w:firstLineChars="98"/>
        <w:jc w:val="left"/>
        <w:rPr>
          <w:rFonts w:cs="仿宋" w:asciiTheme="majorEastAsia" w:hAnsiTheme="majorEastAsia" w:eastAsiaTheme="majorEastAsia"/>
          <w:b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sz w:val="28"/>
          <w:szCs w:val="28"/>
        </w:rPr>
        <w:t>4、成本指标</w:t>
      </w: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（分值10 分，实际得分8.56分）</w:t>
      </w:r>
    </w:p>
    <w:p>
      <w:pPr>
        <w:numPr>
          <w:ilvl w:val="0"/>
          <w:numId w:val="2"/>
        </w:numPr>
        <w:jc w:val="left"/>
        <w:rPr>
          <w:rFonts w:cs="仿宋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Cs/>
          <w:sz w:val="28"/>
          <w:szCs w:val="28"/>
        </w:rPr>
        <w:t>村级支出（分值2 分，实际得分2分）</w:t>
      </w:r>
    </w:p>
    <w:p>
      <w:pPr>
        <w:numPr>
          <w:ilvl w:val="0"/>
          <w:numId w:val="2"/>
        </w:numPr>
        <w:jc w:val="left"/>
        <w:rPr>
          <w:rFonts w:cs="仿宋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Cs/>
          <w:sz w:val="28"/>
          <w:szCs w:val="28"/>
        </w:rPr>
        <w:t>公务接待费（分值1分，实际得分1分）</w:t>
      </w:r>
    </w:p>
    <w:p>
      <w:pPr>
        <w:numPr>
          <w:ilvl w:val="0"/>
          <w:numId w:val="2"/>
        </w:numPr>
        <w:jc w:val="left"/>
        <w:rPr>
          <w:rFonts w:cs="仿宋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Cs/>
          <w:sz w:val="28"/>
          <w:szCs w:val="28"/>
        </w:rPr>
        <w:t>公务用车购置费（分值1 分，实际得分1分）</w:t>
      </w:r>
    </w:p>
    <w:p>
      <w:pPr>
        <w:numPr>
          <w:ilvl w:val="0"/>
          <w:numId w:val="2"/>
        </w:numPr>
        <w:jc w:val="left"/>
        <w:rPr>
          <w:rFonts w:cs="仿宋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Cs/>
          <w:sz w:val="28"/>
          <w:szCs w:val="28"/>
        </w:rPr>
        <w:t>绩效工资（分值1 分，实际得分1分）</w:t>
      </w:r>
    </w:p>
    <w:p>
      <w:pPr>
        <w:numPr>
          <w:ilvl w:val="0"/>
          <w:numId w:val="2"/>
        </w:numPr>
        <w:jc w:val="left"/>
        <w:rPr>
          <w:rFonts w:cs="仿宋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Cs/>
          <w:sz w:val="28"/>
          <w:szCs w:val="28"/>
        </w:rPr>
        <w:t>维修维护费（分值1 分，实际得分1分）</w:t>
      </w:r>
    </w:p>
    <w:p>
      <w:pPr>
        <w:numPr>
          <w:ilvl w:val="0"/>
          <w:numId w:val="2"/>
        </w:numPr>
        <w:jc w:val="left"/>
        <w:rPr>
          <w:rFonts w:cs="仿宋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Cs/>
          <w:sz w:val="28"/>
          <w:szCs w:val="28"/>
        </w:rPr>
        <w:t>住房公积金（分值1 分，实际得分0.79分）</w:t>
      </w:r>
    </w:p>
    <w:p>
      <w:pPr>
        <w:numPr>
          <w:ilvl w:val="0"/>
          <w:numId w:val="2"/>
        </w:numPr>
        <w:jc w:val="left"/>
        <w:rPr>
          <w:rFonts w:cs="仿宋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Cs/>
          <w:sz w:val="28"/>
          <w:szCs w:val="28"/>
        </w:rPr>
        <w:t>办公费（分值1 分，实际得分0.1分）</w:t>
      </w:r>
    </w:p>
    <w:p>
      <w:pPr>
        <w:numPr>
          <w:ilvl w:val="0"/>
          <w:numId w:val="2"/>
        </w:numPr>
        <w:jc w:val="left"/>
        <w:rPr>
          <w:rFonts w:cs="仿宋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Cs/>
          <w:sz w:val="28"/>
          <w:szCs w:val="28"/>
        </w:rPr>
        <w:t>人员支出（分值1 分，实际得分1分）</w:t>
      </w:r>
    </w:p>
    <w:p>
      <w:pPr>
        <w:numPr>
          <w:ilvl w:val="0"/>
          <w:numId w:val="2"/>
        </w:numPr>
        <w:jc w:val="left"/>
        <w:rPr>
          <w:rFonts w:cs="仿宋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Cs/>
          <w:sz w:val="28"/>
          <w:szCs w:val="28"/>
        </w:rPr>
        <w:t>其他人员工资支出分值1 分，实际得分0.67分）</w:t>
      </w:r>
    </w:p>
    <w:p>
      <w:pPr>
        <w:ind w:firstLine="138" w:firstLineChars="49"/>
        <w:jc w:val="left"/>
        <w:rPr>
          <w:rFonts w:cs="仿宋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（三）履职效果情况（分值 30分，实际得分30分）</w:t>
      </w:r>
    </w:p>
    <w:p>
      <w:pPr>
        <w:pStyle w:val="12"/>
        <w:ind w:left="786" w:firstLine="0" w:firstLineChars="0"/>
        <w:jc w:val="left"/>
        <w:rPr>
          <w:rFonts w:cs="仿宋" w:asciiTheme="majorEastAsia" w:hAnsiTheme="majorEastAsia" w:eastAsiaTheme="majorEastAsia"/>
          <w:b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1、经济效益指标</w:t>
      </w:r>
      <w:r>
        <w:rPr>
          <w:rFonts w:hint="eastAsia" w:cs="仿宋" w:asciiTheme="majorEastAsia" w:hAnsiTheme="majorEastAsia" w:eastAsiaTheme="majorEastAsia"/>
          <w:b/>
          <w:sz w:val="28"/>
          <w:szCs w:val="28"/>
        </w:rPr>
        <w:t>（分值 10 分，实际得分10分）</w:t>
      </w:r>
    </w:p>
    <w:p>
      <w:pPr>
        <w:pStyle w:val="12"/>
        <w:ind w:left="786" w:firstLine="0" w:firstLineChars="0"/>
        <w:jc w:val="left"/>
        <w:rPr>
          <w:rFonts w:cs="仿宋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乡村两级经济有所提高（分值 10 分，实际得分10分）</w:t>
      </w:r>
    </w:p>
    <w:p>
      <w:pPr>
        <w:pStyle w:val="12"/>
        <w:ind w:left="786" w:firstLine="0" w:firstLineChars="0"/>
        <w:jc w:val="left"/>
        <w:rPr>
          <w:rFonts w:cs="仿宋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2、社会效益指标（分值 20 分，实际得分20分）</w:t>
      </w:r>
    </w:p>
    <w:p>
      <w:pPr>
        <w:pStyle w:val="12"/>
        <w:ind w:left="786" w:firstLine="0" w:firstLineChars="0"/>
        <w:jc w:val="left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①乡村两级正常运转（分值 10 分，实际得分10分）</w:t>
      </w:r>
    </w:p>
    <w:p>
      <w:pPr>
        <w:pStyle w:val="12"/>
        <w:ind w:left="786" w:firstLine="0" w:firstLineChars="0"/>
        <w:jc w:val="left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②基础设施明显改善（分值 10 分，实际得分10分）</w:t>
      </w:r>
    </w:p>
    <w:p>
      <w:pPr>
        <w:ind w:firstLine="275" w:firstLineChars="98"/>
        <w:jc w:val="left"/>
        <w:rPr>
          <w:rFonts w:cs="仿宋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（四）社会满意度（分值 10 分，实际得分10分）</w:t>
      </w:r>
    </w:p>
    <w:p>
      <w:pPr>
        <w:pStyle w:val="12"/>
        <w:ind w:left="786" w:firstLine="0" w:firstLineChars="0"/>
        <w:jc w:val="left"/>
        <w:rPr>
          <w:rFonts w:cs="仿宋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Cs/>
          <w:sz w:val="28"/>
          <w:szCs w:val="28"/>
        </w:rPr>
        <w:t>乡村两级干部满意度</w:t>
      </w:r>
      <w:r>
        <w:rPr>
          <w:rFonts w:hint="eastAsia" w:cs="仿宋" w:asciiTheme="majorEastAsia" w:hAnsiTheme="majorEastAsia" w:eastAsiaTheme="majorEastAsia"/>
          <w:sz w:val="28"/>
          <w:szCs w:val="28"/>
        </w:rPr>
        <w:t>（分值 10 分，实际得分10分）</w:t>
      </w:r>
    </w:p>
    <w:p>
      <w:pPr>
        <w:ind w:firstLine="281" w:firstLineChars="100"/>
        <w:rPr>
          <w:rFonts w:cs="仿宋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五、部门整体支出绩效中存在问题及改进措施</w:t>
      </w:r>
    </w:p>
    <w:p>
      <w:pPr>
        <w:ind w:firstLine="281" w:firstLineChars="100"/>
        <w:jc w:val="left"/>
        <w:rPr>
          <w:rFonts w:cs="仿宋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（一）主要问题及原因分析</w:t>
      </w:r>
    </w:p>
    <w:p>
      <w:pPr>
        <w:ind w:firstLine="840" w:firstLineChars="3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1.预算编制工作有待细化。预算编制工作不够明确和细化，预算编制的合理性需要提高，预算执行力度还要进一步加强</w:t>
      </w:r>
    </w:p>
    <w:p>
      <w:pPr>
        <w:ind w:firstLine="840" w:firstLineChars="3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2.公用经费控制有一定难度，基本为刚性支出</w:t>
      </w:r>
    </w:p>
    <w:p>
      <w:pPr>
        <w:ind w:firstLine="275" w:firstLineChars="98"/>
        <w:jc w:val="left"/>
        <w:rPr>
          <w:rFonts w:cs="仿宋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bCs/>
          <w:sz w:val="28"/>
          <w:szCs w:val="28"/>
        </w:rPr>
        <w:t>（二）改进的方向和具体措施</w:t>
      </w:r>
    </w:p>
    <w:p>
      <w:pPr>
        <w:ind w:firstLine="840" w:firstLineChars="300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1.通过对部门更细致、更有效的调查，准确掌握各项基础数据；通过国库单一账户制度准确掌握各项收入情况，为科学合理地制定定额标准奠定一个扎实的基础。</w:t>
      </w:r>
    </w:p>
    <w:p>
      <w:pPr>
        <w:ind w:firstLine="840" w:firstLineChars="300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2.加强预算编制管理，夯实预算执行基础。强化预算编制的真实性、合法性和科学完整性，每一项收支项目数字的测算依据实际或计划的基础数据，运用科学合理的方法进行测算。遵循量入为出、收支平衡的原则，采取有效的程序和方法合理安排各项资金，达到综合预算、不偏不漏。</w:t>
      </w:r>
    </w:p>
    <w:p>
      <w:pPr>
        <w:ind w:firstLine="840" w:firstLineChars="300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3.加强预算执行分析，提高运行效率和使用效益。及时跟踪预算执行动态变化过程，重点研究预算执行过程中出现的各种问题，强化预算执行全过程的管理，提供详实准确的预算执行数据，并准确预测预算收支的发展趋势，进一步提高财政预算的管理和决策水平。</w:t>
      </w:r>
    </w:p>
    <w:p>
      <w:pPr>
        <w:rPr>
          <w:rFonts w:cs="仿宋" w:asciiTheme="majorEastAsia" w:hAnsiTheme="majorEastAsia" w:eastAsiaTheme="majorEastAsia"/>
          <w:b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sz w:val="28"/>
          <w:szCs w:val="28"/>
        </w:rPr>
        <w:t>六、其他需要说明的问题</w:t>
      </w:r>
    </w:p>
    <w:p>
      <w:pPr>
        <w:spacing w:before="212" w:line="222" w:lineRule="auto"/>
        <w:ind w:left="44" w:leftChars="21" w:firstLine="695" w:firstLineChars="25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cs="仿宋" w:asciiTheme="majorEastAsia" w:hAnsiTheme="majorEastAsia" w:eastAsiaTheme="majorEastAsia"/>
          <w:spacing w:val="-1"/>
          <w:sz w:val="28"/>
          <w:szCs w:val="28"/>
        </w:rPr>
        <w:t>20</w:t>
      </w:r>
      <w:r>
        <w:rPr>
          <w:rFonts w:hint="eastAsia" w:cs="仿宋" w:asciiTheme="majorEastAsia" w:hAnsiTheme="majorEastAsia" w:eastAsiaTheme="majorEastAsia"/>
          <w:spacing w:val="-1"/>
          <w:sz w:val="28"/>
          <w:szCs w:val="28"/>
        </w:rPr>
        <w:t>23</w:t>
      </w:r>
      <w:r>
        <w:rPr>
          <w:rFonts w:cs="仿宋" w:asciiTheme="majorEastAsia" w:hAnsiTheme="majorEastAsia" w:eastAsiaTheme="majorEastAsia"/>
          <w:spacing w:val="-1"/>
          <w:sz w:val="28"/>
          <w:szCs w:val="28"/>
        </w:rPr>
        <w:t>年度</w:t>
      </w:r>
      <w:r>
        <w:rPr>
          <w:rFonts w:hint="eastAsia" w:cs="仿宋" w:asciiTheme="majorEastAsia" w:hAnsiTheme="majorEastAsia" w:eastAsiaTheme="majorEastAsia"/>
          <w:spacing w:val="-1"/>
          <w:sz w:val="28"/>
          <w:szCs w:val="28"/>
        </w:rPr>
        <w:t>浮梁县兴田乡</w:t>
      </w:r>
      <w:r>
        <w:rPr>
          <w:rFonts w:cs="仿宋" w:asciiTheme="majorEastAsia" w:hAnsiTheme="majorEastAsia" w:eastAsiaTheme="majorEastAsia"/>
          <w:spacing w:val="-1"/>
          <w:sz w:val="28"/>
          <w:szCs w:val="28"/>
        </w:rPr>
        <w:t>部门整体支出绩效评价指标体系及评</w:t>
      </w:r>
    </w:p>
    <w:p>
      <w:pPr>
        <w:rPr>
          <w:rFonts w:cs="仿宋" w:asciiTheme="majorEastAsia" w:hAnsiTheme="majorEastAsia" w:eastAsiaTheme="majorEastAsia"/>
          <w:spacing w:val="-11"/>
          <w:sz w:val="28"/>
          <w:szCs w:val="28"/>
        </w:rPr>
      </w:pPr>
      <w:r>
        <w:rPr>
          <w:rFonts w:cs="仿宋" w:asciiTheme="majorEastAsia" w:hAnsiTheme="majorEastAsia" w:eastAsiaTheme="majorEastAsia"/>
          <w:spacing w:val="-11"/>
          <w:sz w:val="28"/>
          <w:szCs w:val="28"/>
        </w:rPr>
        <w:t>分表</w:t>
      </w:r>
      <w:bookmarkStart w:id="0" w:name="_GoBack"/>
      <w:bookmarkEnd w:id="0"/>
    </w:p>
    <w:p>
      <w:pPr>
        <w:spacing w:before="117" w:line="276" w:lineRule="auto"/>
        <w:ind w:right="301"/>
        <w:rPr>
          <w:rFonts w:cs="方正小标宋简体" w:asciiTheme="majorEastAsia" w:hAnsiTheme="majorEastAsia" w:eastAsiaTheme="majorEastAsia"/>
          <w:b/>
          <w:sz w:val="28"/>
          <w:szCs w:val="28"/>
        </w:rPr>
      </w:pPr>
    </w:p>
    <w:p>
      <w:pPr>
        <w:spacing w:before="117" w:line="276" w:lineRule="auto"/>
        <w:ind w:right="301"/>
        <w:rPr>
          <w:rFonts w:cs="方正小标宋简体" w:asciiTheme="majorEastAsia" w:hAnsiTheme="majorEastAsia" w:eastAsiaTheme="majorEastAsia"/>
          <w:b/>
          <w:sz w:val="28"/>
          <w:szCs w:val="28"/>
        </w:rPr>
      </w:pPr>
    </w:p>
    <w:p>
      <w:pPr>
        <w:spacing w:before="117" w:line="276" w:lineRule="auto"/>
        <w:ind w:right="301"/>
        <w:rPr>
          <w:rFonts w:cs="方正小标宋简体" w:asciiTheme="majorEastAsia" w:hAnsiTheme="majorEastAsia" w:eastAsiaTheme="majorEastAsia"/>
          <w:b/>
          <w:sz w:val="28"/>
          <w:szCs w:val="28"/>
        </w:rPr>
      </w:pPr>
    </w:p>
    <w:p>
      <w:pPr>
        <w:spacing w:before="117" w:line="276" w:lineRule="auto"/>
        <w:ind w:right="301"/>
        <w:rPr>
          <w:rFonts w:cs="方正小标宋简体" w:asciiTheme="majorEastAsia" w:hAnsiTheme="majorEastAsia" w:eastAsiaTheme="majorEastAsia"/>
          <w:b/>
          <w:sz w:val="28"/>
          <w:szCs w:val="28"/>
        </w:rPr>
      </w:pPr>
    </w:p>
    <w:p>
      <w:pPr>
        <w:spacing w:before="117" w:line="276" w:lineRule="auto"/>
        <w:ind w:right="301"/>
        <w:rPr>
          <w:rFonts w:cs="方正小标宋简体" w:asciiTheme="majorEastAsia" w:hAnsiTheme="majorEastAsia" w:eastAsiaTheme="majorEastAsia"/>
          <w:b/>
          <w:sz w:val="28"/>
          <w:szCs w:val="28"/>
        </w:rPr>
      </w:pPr>
    </w:p>
    <w:p>
      <w:pPr>
        <w:spacing w:before="117" w:line="276" w:lineRule="auto"/>
        <w:ind w:right="301"/>
        <w:rPr>
          <w:rFonts w:cs="方正小标宋简体" w:asciiTheme="majorEastAsia" w:hAnsiTheme="majorEastAsia" w:eastAsiaTheme="majorEastAsia"/>
          <w:b/>
          <w:sz w:val="28"/>
          <w:szCs w:val="28"/>
        </w:rPr>
      </w:pPr>
    </w:p>
    <w:p>
      <w:pPr>
        <w:spacing w:before="117" w:line="276" w:lineRule="auto"/>
        <w:ind w:right="301"/>
        <w:rPr>
          <w:rFonts w:cs="方正小标宋简体" w:asciiTheme="majorEastAsia" w:hAnsiTheme="majorEastAsia" w:eastAsiaTheme="majorEastAsia"/>
          <w:b/>
          <w:sz w:val="28"/>
          <w:szCs w:val="28"/>
        </w:rPr>
      </w:pPr>
    </w:p>
    <w:p>
      <w:pPr>
        <w:spacing w:before="117" w:line="276" w:lineRule="auto"/>
        <w:ind w:right="301"/>
        <w:rPr>
          <w:rFonts w:cs="仿宋" w:asciiTheme="majorEastAsia" w:hAnsiTheme="majorEastAsia" w:eastAsiaTheme="majorEastAsia"/>
          <w:b/>
          <w:sz w:val="28"/>
          <w:szCs w:val="28"/>
        </w:rPr>
      </w:pPr>
      <w:r>
        <w:rPr>
          <w:rFonts w:hint="eastAsia" w:cs="方正小标宋简体" w:asciiTheme="majorEastAsia" w:hAnsiTheme="majorEastAsia" w:eastAsiaTheme="majorEastAsia"/>
          <w:b/>
          <w:sz w:val="28"/>
          <w:szCs w:val="28"/>
        </w:rPr>
        <w:t>部门评价表</w:t>
      </w:r>
    </w:p>
    <w:p>
      <w:pPr>
        <w:spacing w:line="2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</w:p>
    <w:tbl>
      <w:tblPr>
        <w:tblStyle w:val="7"/>
        <w:tblpPr w:leftFromText="180" w:rightFromText="180" w:vertAnchor="text" w:horzAnchor="page" w:tblpXSpec="center" w:tblpY="32"/>
        <w:tblOverlap w:val="never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344"/>
        <w:gridCol w:w="17"/>
        <w:gridCol w:w="497"/>
        <w:gridCol w:w="419"/>
        <w:gridCol w:w="703"/>
        <w:gridCol w:w="354"/>
        <w:gridCol w:w="215"/>
        <w:gridCol w:w="759"/>
        <w:gridCol w:w="231"/>
        <w:gridCol w:w="1034"/>
        <w:gridCol w:w="1002"/>
        <w:gridCol w:w="314"/>
        <w:gridCol w:w="142"/>
        <w:gridCol w:w="42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92" w:hRule="atLeast"/>
          <w:jc w:val="center"/>
        </w:trPr>
        <w:tc>
          <w:tcPr>
            <w:tcW w:w="18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项目名称：</w:t>
            </w:r>
          </w:p>
        </w:tc>
        <w:tc>
          <w:tcPr>
            <w:tcW w:w="7441" w:type="dxa"/>
            <w:gridSpan w:val="12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spacing w:val="-1"/>
                <w:szCs w:val="21"/>
              </w:rPr>
              <w:t>浮梁县兴田乡</w:t>
            </w:r>
            <w:r>
              <w:rPr>
                <w:rFonts w:cs="仿宋" w:asciiTheme="majorEastAsia" w:hAnsiTheme="majorEastAsia" w:eastAsiaTheme="majorEastAsia"/>
                <w:spacing w:val="-1"/>
                <w:szCs w:val="21"/>
              </w:rPr>
              <w:t>部门整体支出绩效</w:t>
            </w:r>
            <w:r>
              <w:rPr>
                <w:rFonts w:hint="eastAsia" w:cs="仿宋" w:asciiTheme="majorEastAsia" w:hAnsiTheme="majorEastAsia" w:eastAsiaTheme="majorEastAsia"/>
                <w:spacing w:val="-1"/>
                <w:szCs w:val="21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92" w:hRule="atLeast"/>
          <w:jc w:val="center"/>
        </w:trPr>
        <w:tc>
          <w:tcPr>
            <w:tcW w:w="18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主管部门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兴田乡政府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项目实施单位</w:t>
            </w:r>
          </w:p>
        </w:tc>
        <w:tc>
          <w:tcPr>
            <w:tcW w:w="27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兴田乡政府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92" w:hRule="atLeast"/>
          <w:jc w:val="center"/>
        </w:trPr>
        <w:tc>
          <w:tcPr>
            <w:tcW w:w="18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项目负责人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周媛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联系电话</w:t>
            </w:r>
          </w:p>
        </w:tc>
        <w:tc>
          <w:tcPr>
            <w:tcW w:w="27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13576418967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92" w:hRule="atLeast"/>
          <w:jc w:val="center"/>
        </w:trPr>
        <w:tc>
          <w:tcPr>
            <w:tcW w:w="18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项目类型</w:t>
            </w:r>
          </w:p>
        </w:tc>
        <w:tc>
          <w:tcPr>
            <w:tcW w:w="7441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经常性项目（</w:t>
            </w:r>
            <w:r>
              <w:rPr>
                <w:rFonts w:cs="宋体" w:asciiTheme="majorEastAsia" w:hAnsiTheme="majorEastAsia" w:eastAsiaTheme="majorEastAsia"/>
                <w:szCs w:val="21"/>
              </w:rPr>
              <w:t xml:space="preserve">   </w:t>
            </w:r>
            <w:r>
              <w:rPr>
                <w:rFonts w:hint="eastAsia" w:cs="宋体" w:asciiTheme="majorEastAsia" w:hAnsiTheme="majorEastAsia" w:eastAsiaTheme="majorEastAsia"/>
                <w:szCs w:val="21"/>
              </w:rPr>
              <w:t>）</w:t>
            </w:r>
            <w:r>
              <w:rPr>
                <w:rFonts w:cs="宋体" w:asciiTheme="majorEastAsia" w:hAnsiTheme="majorEastAsia" w:eastAsiaTheme="majorEastAsia"/>
                <w:szCs w:val="21"/>
              </w:rPr>
              <w:t xml:space="preserve">       </w:t>
            </w:r>
            <w:r>
              <w:rPr>
                <w:rFonts w:hint="eastAsia" w:cs="宋体" w:asciiTheme="majorEastAsia" w:hAnsiTheme="majorEastAsia" w:eastAsiaTheme="majorEastAsia"/>
                <w:szCs w:val="21"/>
              </w:rPr>
              <w:t>一次性项目（</w:t>
            </w:r>
            <w:r>
              <w:rPr>
                <w:rFonts w:cs="宋体"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00" w:hRule="atLeast"/>
          <w:jc w:val="center"/>
        </w:trPr>
        <w:tc>
          <w:tcPr>
            <w:tcW w:w="18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计划投资额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（万元）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4140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实际到位资金（万元）</w:t>
            </w:r>
          </w:p>
        </w:tc>
        <w:tc>
          <w:tcPr>
            <w:tcW w:w="1034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4140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实际使用情况（万元）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92" w:hRule="atLeast"/>
          <w:jc w:val="center"/>
        </w:trPr>
        <w:tc>
          <w:tcPr>
            <w:tcW w:w="18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其中：中央财政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其中：中央财政</w:t>
            </w:r>
          </w:p>
        </w:tc>
        <w:tc>
          <w:tcPr>
            <w:tcW w:w="1034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其中：中央财政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92" w:hRule="atLeast"/>
          <w:jc w:val="center"/>
        </w:trPr>
        <w:tc>
          <w:tcPr>
            <w:tcW w:w="18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省财政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省财政</w:t>
            </w:r>
          </w:p>
        </w:tc>
        <w:tc>
          <w:tcPr>
            <w:tcW w:w="1034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省财政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92" w:hRule="atLeast"/>
          <w:jc w:val="center"/>
        </w:trPr>
        <w:tc>
          <w:tcPr>
            <w:tcW w:w="18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市县财政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市县财政</w:t>
            </w:r>
          </w:p>
        </w:tc>
        <w:tc>
          <w:tcPr>
            <w:tcW w:w="1034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市县财政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92" w:hRule="atLeast"/>
          <w:jc w:val="center"/>
        </w:trPr>
        <w:tc>
          <w:tcPr>
            <w:tcW w:w="18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其他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4140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其他</w:t>
            </w:r>
          </w:p>
        </w:tc>
        <w:tc>
          <w:tcPr>
            <w:tcW w:w="1034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其他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92" w:hRule="atLeast"/>
          <w:jc w:val="center"/>
        </w:trPr>
        <w:tc>
          <w:tcPr>
            <w:tcW w:w="9299" w:type="dxa"/>
            <w:gridSpan w:val="15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二、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szCs w:val="21"/>
              </w:rPr>
              <w:t>绩效评价指标评分（参考）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一级指标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分值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二级指标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分值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三级指标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分值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预算执行</w:t>
            </w:r>
          </w:p>
        </w:tc>
        <w:tc>
          <w:tcPr>
            <w:tcW w:w="91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10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预算执行率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10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成本指标</w:t>
            </w:r>
          </w:p>
        </w:tc>
        <w:tc>
          <w:tcPr>
            <w:tcW w:w="91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10</w:t>
            </w:r>
          </w:p>
        </w:tc>
        <w:tc>
          <w:tcPr>
            <w:tcW w:w="12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经济指标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2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Cs w:val="21"/>
              </w:rPr>
              <w:t>村级支出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Cs w:val="21"/>
              </w:rPr>
              <w:t>公务接待费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Cs w:val="21"/>
              </w:rPr>
              <w:t>公务用车购置费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Cs w:val="21"/>
              </w:rPr>
              <w:t>绩效工资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Cs w:val="21"/>
              </w:rPr>
              <w:t>维修维护费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Cs w:val="21"/>
              </w:rPr>
              <w:t>住房公积金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0.79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Cs w:val="21"/>
              </w:rPr>
              <w:t>办公费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Cs w:val="21"/>
              </w:rPr>
              <w:t>人员支出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Cs w:val="21"/>
              </w:rPr>
              <w:t>其他人员工资支出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产出指标</w:t>
            </w:r>
          </w:p>
        </w:tc>
        <w:tc>
          <w:tcPr>
            <w:tcW w:w="9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20</w:t>
            </w:r>
          </w:p>
        </w:tc>
        <w:tc>
          <w:tcPr>
            <w:tcW w:w="12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数量指标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4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szCs w:val="21"/>
              </w:rPr>
              <w:t>在编人员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4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szCs w:val="21"/>
              </w:rPr>
              <w:t>购买服务对象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4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szCs w:val="21"/>
              </w:rPr>
              <w:t>临时人员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4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szCs w:val="21"/>
              </w:rPr>
              <w:t>遗属人员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4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szCs w:val="21"/>
              </w:rPr>
              <w:t>村级支出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10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质量指标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10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Cs w:val="21"/>
              </w:rPr>
              <w:t>资金使用规范性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10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时效指标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110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szCs w:val="21"/>
              </w:rPr>
              <w:t>资金使用时间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效益指标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15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经济效益指标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15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乡村两级正常运转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15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社会效益指标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15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基础设施明显改善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满意度指标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10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</w:rPr>
              <w:t>服务对象满意度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10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8"/>
                <w:szCs w:val="28"/>
              </w:rPr>
              <w:t>乡村两级干部满意度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总分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szCs w:val="21"/>
              </w:rPr>
              <w:t>100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szCs w:val="21"/>
              </w:rPr>
              <w:t>100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szCs w:val="21"/>
              </w:rPr>
              <w:t>100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93.56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34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评价等次</w:t>
            </w:r>
          </w:p>
        </w:tc>
        <w:tc>
          <w:tcPr>
            <w:tcW w:w="7955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优□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良□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中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955" w:type="dxa"/>
            <w:gridSpan w:val="14"/>
          </w:tcPr>
          <w:p>
            <w:pPr>
              <w:spacing w:line="260" w:lineRule="exac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100-90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（含）分为优、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90-80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（含）分为良、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80-60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（含）分为中、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60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分以下为差</w:t>
            </w:r>
          </w:p>
        </w:tc>
      </w:tr>
    </w:tbl>
    <w:p>
      <w:pPr>
        <w:rPr>
          <w:rFonts w:cs="仿宋" w:asciiTheme="majorEastAsia" w:hAnsiTheme="majorEastAsia" w:eastAsiaTheme="majorEastAsia"/>
          <w:b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erif CJK JP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38" o:spid="_x0000_s1038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  <w:p/>
              <w:p/>
              <w:p/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56CD7"/>
    <w:multiLevelType w:val="multilevel"/>
    <w:tmpl w:val="0D756CD7"/>
    <w:lvl w:ilvl="0" w:tentative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79447E85"/>
    <w:multiLevelType w:val="multilevel"/>
    <w:tmpl w:val="79447E85"/>
    <w:lvl w:ilvl="0" w:tentative="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60" w:hanging="420"/>
      </w:pPr>
    </w:lvl>
    <w:lvl w:ilvl="2" w:tentative="0">
      <w:start w:val="1"/>
      <w:numFmt w:val="lowerRoman"/>
      <w:lvlText w:val="%3."/>
      <w:lvlJc w:val="right"/>
      <w:pPr>
        <w:ind w:left="1580" w:hanging="420"/>
      </w:pPr>
    </w:lvl>
    <w:lvl w:ilvl="3" w:tentative="0">
      <w:start w:val="1"/>
      <w:numFmt w:val="decimal"/>
      <w:lvlText w:val="%4."/>
      <w:lvlJc w:val="left"/>
      <w:pPr>
        <w:ind w:left="2000" w:hanging="420"/>
      </w:pPr>
    </w:lvl>
    <w:lvl w:ilvl="4" w:tentative="0">
      <w:start w:val="1"/>
      <w:numFmt w:val="lowerLetter"/>
      <w:lvlText w:val="%5)"/>
      <w:lvlJc w:val="left"/>
      <w:pPr>
        <w:ind w:left="2420" w:hanging="420"/>
      </w:pPr>
    </w:lvl>
    <w:lvl w:ilvl="5" w:tentative="0">
      <w:start w:val="1"/>
      <w:numFmt w:val="lowerRoman"/>
      <w:lvlText w:val="%6."/>
      <w:lvlJc w:val="right"/>
      <w:pPr>
        <w:ind w:left="2840" w:hanging="420"/>
      </w:pPr>
    </w:lvl>
    <w:lvl w:ilvl="6" w:tentative="0">
      <w:start w:val="1"/>
      <w:numFmt w:val="decimal"/>
      <w:lvlText w:val="%7."/>
      <w:lvlJc w:val="left"/>
      <w:pPr>
        <w:ind w:left="3260" w:hanging="420"/>
      </w:pPr>
    </w:lvl>
    <w:lvl w:ilvl="7" w:tentative="0">
      <w:start w:val="1"/>
      <w:numFmt w:val="lowerLetter"/>
      <w:lvlText w:val="%8)"/>
      <w:lvlJc w:val="left"/>
      <w:pPr>
        <w:ind w:left="3680" w:hanging="420"/>
      </w:pPr>
    </w:lvl>
    <w:lvl w:ilvl="8" w:tentative="0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zN2FhNThiYjBiNjVlYjIwZmJhOWQxM2Q0NTU2NzYifQ=="/>
  </w:docVars>
  <w:rsids>
    <w:rsidRoot w:val="004D5BCF"/>
    <w:rsid w:val="00071514"/>
    <w:rsid w:val="001D0D82"/>
    <w:rsid w:val="001D1E15"/>
    <w:rsid w:val="002E1683"/>
    <w:rsid w:val="00351904"/>
    <w:rsid w:val="003724BF"/>
    <w:rsid w:val="003D4D9D"/>
    <w:rsid w:val="004D5BCF"/>
    <w:rsid w:val="00544AF1"/>
    <w:rsid w:val="0059786F"/>
    <w:rsid w:val="005F4643"/>
    <w:rsid w:val="007505CC"/>
    <w:rsid w:val="00813542"/>
    <w:rsid w:val="00854C34"/>
    <w:rsid w:val="00884005"/>
    <w:rsid w:val="00AB7E0E"/>
    <w:rsid w:val="00B03298"/>
    <w:rsid w:val="00B82299"/>
    <w:rsid w:val="00C26E21"/>
    <w:rsid w:val="00CF486C"/>
    <w:rsid w:val="00CF5F78"/>
    <w:rsid w:val="00D02D1F"/>
    <w:rsid w:val="00D373B4"/>
    <w:rsid w:val="00F56B02"/>
    <w:rsid w:val="499E503D"/>
    <w:rsid w:val="538C7312"/>
    <w:rsid w:val="55600006"/>
    <w:rsid w:val="6EDC1BA5"/>
    <w:rsid w:val="764741E2"/>
    <w:rsid w:val="7BD1431C"/>
    <w:rsid w:val="7D316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Noto Serif CJK JP" w:hAnsi="Noto Serif CJK JP" w:eastAsia="Noto Serif CJK JP" w:cs="Noto Serif CJK JP"/>
      <w:sz w:val="32"/>
      <w:szCs w:val="32"/>
    </w:rPr>
  </w:style>
  <w:style w:type="paragraph" w:styleId="4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character" w:customStyle="1" w:styleId="11">
    <w:name w:val="批注框文本 Char"/>
    <w:basedOn w:val="8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3">
    <w:name w:val="Table Paragraph"/>
    <w:basedOn w:val="1"/>
    <w:autoRedefine/>
    <w:qFormat/>
    <w:uiPriority w:val="1"/>
    <w:rPr>
      <w:rFonts w:ascii="Noto Serif CJK JP" w:hAnsi="Noto Serif CJK JP" w:eastAsia="Noto Serif CJK JP" w:cs="Noto Serif CJK 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3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A67097-9386-498F-AB27-5BE58CD736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855</Words>
  <Characters>4880</Characters>
  <Lines>40</Lines>
  <Paragraphs>11</Paragraphs>
  <TotalTime>161</TotalTime>
  <ScaleCrop>false</ScaleCrop>
  <LinksUpToDate>false</LinksUpToDate>
  <CharactersWithSpaces>5724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2024-04-16T07:59:00Z</dcterms:created>
  <dc:creator>Administrator</dc:creator>
  <cp:lastModifiedBy>向左向右</cp:lastModifiedBy>
  <dcterms:modified xsi:type="dcterms:W3CDTF">2024-04-22T02:46:46Z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3BE6190686DB46858B6C9447F44DE2D2_12</vt:lpwstr>
  </property>
</Properties>
</file>