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5019F">
      <w:pPr>
        <w:spacing w:line="600" w:lineRule="exact"/>
        <w:rPr>
          <w:rFonts w:hint="eastAsia" w:eastAsia="仿宋_GB2312"/>
          <w:color w:val="000000" w:themeColor="text1"/>
          <w:sz w:val="24"/>
          <w:lang w:val="en-US" w:eastAsia="zh-CN"/>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 xml:space="preserve"> </w:t>
      </w:r>
    </w:p>
    <w:p w14:paraId="3A22B2A5">
      <w:pPr>
        <w:spacing w:line="560" w:lineRule="exact"/>
        <w:rPr>
          <w:rFonts w:eastAsia="仿宋_GB2312"/>
          <w:color w:val="000000" w:themeColor="text1"/>
          <w:sz w:val="24"/>
          <w14:textFill>
            <w14:solidFill>
              <w14:schemeClr w14:val="tx1"/>
            </w14:solidFill>
          </w14:textFill>
        </w:rPr>
      </w:pPr>
    </w:p>
    <w:p w14:paraId="1D1F6A79">
      <w:pPr>
        <w:spacing w:line="560" w:lineRule="exact"/>
        <w:rPr>
          <w:rFonts w:eastAsia="仿宋_GB2312"/>
          <w:color w:val="000000" w:themeColor="text1"/>
          <w:sz w:val="24"/>
          <w14:textFill>
            <w14:solidFill>
              <w14:schemeClr w14:val="tx1"/>
            </w14:solidFill>
          </w14:textFill>
        </w:rPr>
      </w:pPr>
    </w:p>
    <w:p w14:paraId="70E2EC8F">
      <w:pPr>
        <w:pStyle w:val="2"/>
        <w:rPr>
          <w:color w:val="000000" w:themeColor="text1"/>
          <w14:textFill>
            <w14:solidFill>
              <w14:schemeClr w14:val="tx1"/>
            </w14:solidFill>
          </w14:textFill>
        </w:rPr>
      </w:pPr>
    </w:p>
    <w:p w14:paraId="38055968">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color w:val="000000" w:themeColor="text1"/>
          <w:sz w:val="24"/>
          <w14:textFill>
            <w14:solidFill>
              <w14:schemeClr w14:val="tx1"/>
            </w14:solidFill>
          </w14:textFill>
        </w:rPr>
      </w:pPr>
    </w:p>
    <w:p w14:paraId="1801BC67">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color w:val="000000" w:themeColor="text1"/>
          <w14:textFill>
            <w14:solidFill>
              <w14:schemeClr w14:val="tx1"/>
            </w14:solidFill>
          </w14:textFill>
        </w:rPr>
      </w:pPr>
    </w:p>
    <w:p w14:paraId="7282B2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color w:val="000000" w:themeColor="text1"/>
          <w:sz w:val="24"/>
          <w14:textFill>
            <w14:solidFill>
              <w14:schemeClr w14:val="tx1"/>
            </w14:solidFill>
          </w14:textFill>
        </w:rPr>
      </w:pPr>
    </w:p>
    <w:p w14:paraId="4EBA1301">
      <w:pPr>
        <w:spacing w:line="600" w:lineRule="exact"/>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浮府办发〔20</w:t>
      </w:r>
      <w:r>
        <w:rPr>
          <w:rFonts w:hint="eastAsia" w:ascii="仿宋" w:hAnsi="仿宋" w:eastAsia="仿宋"/>
          <w:color w:val="000000" w:themeColor="text1"/>
          <w:sz w:val="32"/>
          <w:szCs w:val="32"/>
          <w:lang w:val="en-US" w:eastAsia="zh-CN"/>
          <w14:textFill>
            <w14:solidFill>
              <w14:schemeClr w14:val="tx1"/>
            </w14:solidFill>
          </w14:textFill>
        </w:rPr>
        <w:t>23</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号</w:t>
      </w:r>
    </w:p>
    <w:p w14:paraId="538EBE0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p>
    <w:p w14:paraId="25F4049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p>
    <w:p w14:paraId="04967145">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浮梁县人民政府办公室关于印发浮梁县科技创新奖励办法（修订）的通知</w:t>
      </w:r>
    </w:p>
    <w:p w14:paraId="4D8548E0">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000000" w:themeColor="text1"/>
          <w:sz w:val="44"/>
          <w:szCs w:val="44"/>
          <w:lang w:val="en-US" w:eastAsia="zh-CN"/>
          <w14:textFill>
            <w14:solidFill>
              <w14:schemeClr w14:val="tx1"/>
            </w14:solidFill>
          </w14:textFill>
        </w:rPr>
      </w:pPr>
    </w:p>
    <w:p w14:paraId="21D5493A">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各乡（镇）人民政府、县政府有关部门、县直有关单位：</w:t>
      </w:r>
    </w:p>
    <w:p w14:paraId="5996F0E2">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《浮梁县科技创新奖励办法（修订）》已经县政府研究同意，现印发给你们，请认真贯彻执行。</w:t>
      </w:r>
    </w:p>
    <w:p w14:paraId="1F9D44B4">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14:paraId="1B173B08">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14:paraId="5D2CE28A">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14:paraId="3324E94D">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14:paraId="6FB5C8C7">
      <w:pPr>
        <w:keepNext w:val="0"/>
        <w:keepLines w:val="0"/>
        <w:pageBreakBefore w:val="0"/>
        <w:widowControl/>
        <w:kinsoku/>
        <w:wordWrap/>
        <w:overflowPunct/>
        <w:topLinePunct w:val="0"/>
        <w:autoSpaceDE/>
        <w:autoSpaceDN/>
        <w:bidi w:val="0"/>
        <w:adjustRightInd/>
        <w:snapToGrid/>
        <w:spacing w:line="600" w:lineRule="exact"/>
        <w:ind w:right="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（此件主动公开）</w:t>
      </w:r>
    </w:p>
    <w:p w14:paraId="66371A80">
      <w:pPr>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lang w:eastAsia="zh-CN"/>
          <w14:textFill>
            <w14:solidFill>
              <w14:schemeClr w14:val="tx1"/>
            </w14:solidFill>
          </w14:textFill>
        </w:rPr>
        <w:br w:type="page"/>
      </w:r>
    </w:p>
    <w:p w14:paraId="46ED2D9B">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浮梁县科技创新奖励办法（修订）</w:t>
      </w:r>
    </w:p>
    <w:p w14:paraId="6CCA4C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000000" w:themeColor="text1"/>
          <w:sz w:val="44"/>
          <w:szCs w:val="44"/>
          <w:lang w:val="en-US" w:eastAsia="zh-CN"/>
          <w14:textFill>
            <w14:solidFill>
              <w14:schemeClr w14:val="tx1"/>
            </w14:solidFill>
          </w14:textFill>
        </w:rPr>
      </w:pPr>
    </w:p>
    <w:p w14:paraId="0FFD79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为全面贯彻党的二十大精神和习近平总书记关于科技创新重要论述，深入实施创新驱动发展战略，大力提升科技创新能力，优化创新环境，激发全社会创新创业活力，促进县域经济高质量跨越式发展，结合我县实际，特修订《浮梁县科技创新奖励办法》。</w:t>
      </w:r>
    </w:p>
    <w:p w14:paraId="133B48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一、资金安排、奖励范围、程序</w:t>
      </w:r>
    </w:p>
    <w:p w14:paraId="13E3A8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县政府设立科技创新发展专项资金，用于我县科技创新奖励、资助（补助）等。</w:t>
      </w:r>
    </w:p>
    <w:p w14:paraId="3C8472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（一）范围</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14:textFill>
            <w14:solidFill>
              <w14:schemeClr w14:val="tx1"/>
            </w14:solidFill>
          </w14:textFill>
        </w:rPr>
        <w:t>在本县区域内注册、纳税，且申请项目、成果在本县范围内组织实施，具有独立法人资格的企业、各类农业经营主体以及在我县</w:t>
      </w:r>
      <w:r>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t>区域内</w:t>
      </w:r>
      <w:r>
        <w:rPr>
          <w:rFonts w:hint="eastAsia" w:ascii="方正仿宋_GBK" w:hAnsi="方正仿宋_GBK" w:eastAsia="方正仿宋_GBK" w:cs="方正仿宋_GBK"/>
          <w:bCs/>
          <w:color w:val="000000" w:themeColor="text1"/>
          <w:sz w:val="32"/>
          <w:szCs w:val="32"/>
          <w14:textFill>
            <w14:solidFill>
              <w14:schemeClr w14:val="tx1"/>
            </w14:solidFill>
          </w14:textFill>
        </w:rPr>
        <w:t>的高校、科研院所、社会组织及个人。</w:t>
      </w:r>
    </w:p>
    <w:p w14:paraId="7BE8DF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（二）期限</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14:textFill>
            <w14:solidFill>
              <w14:schemeClr w14:val="tx1"/>
            </w14:solidFill>
          </w14:textFill>
        </w:rPr>
        <w:t>县科技创新奖励和资助每年度评审一次，申报截止日期为每年12月31日，当年不申请办理的视为放弃，逾期不再奖励或资助（补助）。</w:t>
      </w:r>
    </w:p>
    <w:p w14:paraId="51A9D1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（三）流程</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2"/>
          <w14:textFill>
            <w14:solidFill>
              <w14:schemeClr w14:val="tx1"/>
            </w14:solidFill>
          </w14:textFill>
        </w:rPr>
        <w:t>申请资助奖励的企事业单位、组织及个人等，凭当年科技创新</w:t>
      </w:r>
      <w:r>
        <w:rPr>
          <w:rFonts w:hint="eastAsia" w:ascii="方正仿宋_GBK" w:hAnsi="方正仿宋_GBK" w:eastAsia="方正仿宋_GBK" w:cs="方正仿宋_GBK"/>
          <w:color w:val="000000" w:themeColor="text1"/>
          <w:sz w:val="32"/>
          <w:szCs w:val="32"/>
          <w14:textFill>
            <w14:solidFill>
              <w14:schemeClr w14:val="tx1"/>
            </w14:solidFill>
          </w14:textFill>
        </w:rPr>
        <w:t>的相关批复文件及有关证明材料原件，向县创新驱动“5511”工程工作领导小组办公室提出申请，办理有关手续。领导小组办公室对申报事项进行审核并提出奖励或资助（补助）方案，报县政府审核批准后，予以奖励或资助。</w:t>
      </w:r>
    </w:p>
    <w:p w14:paraId="63E4CE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color w:val="000000" w:themeColor="text1"/>
          <w:sz w:val="32"/>
          <w:szCs w:val="32"/>
          <w14:textFill>
            <w14:solidFill>
              <w14:schemeClr w14:val="tx1"/>
            </w14:solidFill>
          </w14:textFill>
        </w:rPr>
        <w:t>奖励资助内容及标准</w:t>
      </w:r>
    </w:p>
    <w:p w14:paraId="6983A8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（一）鼓励创新平台和载体建设</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p>
    <w:p w14:paraId="1377C4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对新认定的国家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、省级、市级工程技术研究中心（重点实验室）等研发机构分别给予30万元、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万元奖励。</w:t>
      </w:r>
    </w:p>
    <w:p w14:paraId="778A68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对新认定的国家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、省级、市级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技术创新中心等创新平台</w:t>
      </w:r>
      <w:r>
        <w:rPr>
          <w:rFonts w:hint="eastAsia" w:ascii="方正仿宋_GBK" w:hAnsi="方正仿宋_GBK" w:eastAsia="方正仿宋_GBK" w:cs="方正仿宋_GBK"/>
          <w:color w:val="000000" w:themeColor="text1"/>
          <w:sz w:val="32"/>
          <w:szCs w:val="32"/>
          <w14:textFill>
            <w14:solidFill>
              <w14:schemeClr w14:val="tx1"/>
            </w14:solidFill>
          </w14:textFill>
        </w:rPr>
        <w:t>分别给予30万元、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万元奖励。</w:t>
      </w:r>
    </w:p>
    <w:p w14:paraId="618879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对新认定的国家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、省级、市级科技孵化器（众创空间）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等载体，</w:t>
      </w:r>
      <w:r>
        <w:rPr>
          <w:rFonts w:hint="eastAsia" w:ascii="方正仿宋_GBK" w:hAnsi="方正仿宋_GBK" w:eastAsia="方正仿宋_GBK" w:cs="方正仿宋_GBK"/>
          <w:color w:val="000000" w:themeColor="text1"/>
          <w:sz w:val="32"/>
          <w:szCs w:val="32"/>
          <w14:textFill>
            <w14:solidFill>
              <w14:schemeClr w14:val="tx1"/>
            </w14:solidFill>
          </w14:textFill>
        </w:rPr>
        <w:t>分别给予</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10万元、8万元、3万元奖励。</w:t>
      </w:r>
    </w:p>
    <w:p w14:paraId="132DEC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4.支持我县企业牵头建立国家级、省级、市级产业技术创新战略联盟，联盟建立后分别给予10万元、8万元、3万元的建设资助经费</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4D2699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（二）加大创新人才和团队扶持力度</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p>
    <w:p w14:paraId="52E873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对获得国家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、省级、市级优势创新团队分别给</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予10万元、8万元、5万元奖励，对获得国家级、省级、市级创新人才和领军人才分别给予8万元、5万元、3万元奖</w:t>
      </w:r>
      <w:r>
        <w:rPr>
          <w:rFonts w:hint="eastAsia" w:ascii="方正仿宋_GBK" w:hAnsi="方正仿宋_GBK" w:eastAsia="方正仿宋_GBK" w:cs="方正仿宋_GBK"/>
          <w:color w:val="000000" w:themeColor="text1"/>
          <w:sz w:val="32"/>
          <w:szCs w:val="32"/>
          <w14:textFill>
            <w14:solidFill>
              <w14:schemeClr w14:val="tx1"/>
            </w14:solidFill>
          </w14:textFill>
        </w:rPr>
        <w:t>励。</w:t>
      </w:r>
    </w:p>
    <w:p w14:paraId="589DBA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经</w:t>
      </w:r>
      <w:r>
        <w:rPr>
          <w:rFonts w:hint="eastAsia" w:ascii="方正仿宋_GBK" w:hAnsi="方正仿宋_GBK" w:eastAsia="方正仿宋_GBK" w:cs="方正仿宋_GBK"/>
          <w:color w:val="000000" w:themeColor="text1"/>
          <w:sz w:val="32"/>
          <w:szCs w:val="32"/>
          <w14:textFill>
            <w14:solidFill>
              <w14:schemeClr w14:val="tx1"/>
            </w14:solidFill>
          </w14:textFill>
        </w:rPr>
        <w:t>批准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认定</w:t>
      </w:r>
      <w:r>
        <w:rPr>
          <w:rFonts w:hint="eastAsia" w:ascii="方正仿宋_GBK" w:hAnsi="方正仿宋_GBK" w:eastAsia="方正仿宋_GBK" w:cs="方正仿宋_GBK"/>
          <w:color w:val="000000" w:themeColor="text1"/>
          <w:sz w:val="32"/>
          <w:szCs w:val="32"/>
          <w14:textFill>
            <w14:solidFill>
              <w14:schemeClr w14:val="tx1"/>
            </w14:solidFill>
          </w14:textFill>
        </w:rPr>
        <w:t>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国家级、省级</w:t>
      </w:r>
      <w:r>
        <w:rPr>
          <w:rFonts w:hint="eastAsia" w:ascii="方正仿宋_GBK" w:hAnsi="方正仿宋_GBK" w:eastAsia="方正仿宋_GBK" w:cs="方正仿宋_GBK"/>
          <w:color w:val="000000" w:themeColor="text1"/>
          <w:sz w:val="32"/>
          <w:szCs w:val="32"/>
          <w14:textFill>
            <w14:solidFill>
              <w14:schemeClr w14:val="tx1"/>
            </w14:solidFill>
          </w14:textFill>
        </w:rPr>
        <w:t>院士</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科研</w:t>
      </w:r>
      <w:r>
        <w:rPr>
          <w:rFonts w:hint="eastAsia" w:ascii="方正仿宋_GBK" w:hAnsi="方正仿宋_GBK" w:eastAsia="方正仿宋_GBK" w:cs="方正仿宋_GBK"/>
          <w:color w:val="000000" w:themeColor="text1"/>
          <w:sz w:val="32"/>
          <w:szCs w:val="32"/>
          <w14:textFill>
            <w14:solidFill>
              <w14:schemeClr w14:val="tx1"/>
            </w14:solidFill>
          </w14:textFill>
        </w:rPr>
        <w:t>工作站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分别给予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w:t>
      </w:r>
      <w:r>
        <w:rPr>
          <w:rFonts w:hint="eastAsia" w:ascii="方正仿宋_GBK" w:hAnsi="方正仿宋_GBK" w:eastAsia="方正仿宋_GBK" w:cs="方正仿宋_GBK"/>
          <w:color w:val="000000" w:themeColor="text1"/>
          <w:sz w:val="32"/>
          <w:szCs w:val="32"/>
          <w14:textFill>
            <w14:solidFill>
              <w14:schemeClr w14:val="tx1"/>
            </w14:solidFill>
          </w14:textFill>
        </w:rPr>
        <w:t>万元建设补助经费，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经批准认定的国家级、省级博士后的科研工作站、</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博士后创新实践基地，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分别给予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10万元、5万元的建设补助经费。</w:t>
      </w:r>
      <w:r>
        <w:rPr>
          <w:rFonts w:hint="eastAsia" w:ascii="方正仿宋_GBK" w:hAnsi="方正仿宋_GBK" w:eastAsia="方正仿宋_GBK" w:cs="方正仿宋_GBK"/>
          <w:color w:val="000000" w:themeColor="text1"/>
          <w:sz w:val="32"/>
          <w:szCs w:val="32"/>
          <w14:textFill>
            <w14:solidFill>
              <w14:schemeClr w14:val="tx1"/>
            </w14:solidFill>
          </w14:textFill>
        </w:rPr>
        <w:t>对进站工作的院士和博士后主持的科研项目被省级以上有关部门立项的，分别给予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32"/>
          <w:szCs w:val="32"/>
          <w14:textFill>
            <w14:solidFill>
              <w14:schemeClr w14:val="tx1"/>
            </w14:solidFill>
          </w14:textFill>
        </w:rPr>
        <w:t>万元科研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经费</w:t>
      </w:r>
      <w:r>
        <w:rPr>
          <w:rFonts w:hint="eastAsia" w:ascii="方正仿宋_GBK" w:hAnsi="方正仿宋_GBK" w:eastAsia="方正仿宋_GBK" w:cs="方正仿宋_GBK"/>
          <w:color w:val="000000" w:themeColor="text1"/>
          <w:sz w:val="32"/>
          <w:szCs w:val="32"/>
          <w14:textFill>
            <w14:solidFill>
              <w14:schemeClr w14:val="tx1"/>
            </w14:solidFill>
          </w14:textFill>
        </w:rPr>
        <w:t>资助。</w:t>
      </w:r>
    </w:p>
    <w:p w14:paraId="6CABFB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（三）鼓励开展技术创新</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活动。</w:t>
      </w:r>
    </w:p>
    <w:p w14:paraId="017F5C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鼓励企事业单位承担国家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级</w:t>
      </w:r>
      <w:r>
        <w:rPr>
          <w:rFonts w:hint="eastAsia" w:ascii="方正仿宋_GBK" w:hAnsi="方正仿宋_GBK" w:eastAsia="方正仿宋_GBK" w:cs="方正仿宋_GBK"/>
          <w:color w:val="000000" w:themeColor="text1"/>
          <w:sz w:val="32"/>
          <w:szCs w:val="32"/>
          <w14:textFill>
            <w14:solidFill>
              <w14:schemeClr w14:val="tx1"/>
            </w14:solidFill>
          </w14:textFill>
        </w:rPr>
        <w:t>、省级重大科技项目，鼓励以企业为主导与高等院校、科研院所联合申报课题，对获得国家级科技项目的和省级科技重大专项立项的，经审核后，按立项资金</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总额的5%予以支持，对国家级每项支持总额最高不超过20万元，省级科技重大专项每项支持总额最高不超过5万元。</w:t>
      </w:r>
    </w:p>
    <w:p w14:paraId="1AE987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8.对获得国家级、省级新产品（重点新产品）称号并取得认定证书的新产品，分别给予6万元、3万元</w:t>
      </w:r>
      <w:r>
        <w:rPr>
          <w:rFonts w:hint="eastAsia" w:ascii="方正仿宋_GBK" w:hAnsi="方正仿宋_GBK" w:eastAsia="方正仿宋_GBK" w:cs="方正仿宋_GBK"/>
          <w:color w:val="000000" w:themeColor="text1"/>
          <w:sz w:val="32"/>
          <w:szCs w:val="32"/>
          <w14:textFill>
            <w14:solidFill>
              <w14:schemeClr w14:val="tx1"/>
            </w14:solidFill>
          </w14:textFill>
        </w:rPr>
        <w:t>的奖励。</w:t>
      </w:r>
    </w:p>
    <w:p w14:paraId="26923F79">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9.对企业（含机构）新获得国家科技进步奖</w:t>
      </w:r>
      <w:bookmarkStart w:id="0" w:name="_GoBack"/>
      <w:bookmarkEnd w:id="0"/>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特等奖、一等奖、二等奖、三等奖，省科技进步一等奖、二等奖、三等奖的，按照国家、省级奖励金的50%给予配套奖励。</w:t>
      </w:r>
    </w:p>
    <w:p w14:paraId="05F044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（四）鼓励开展产学研合作</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及科技成果转化。</w:t>
      </w:r>
    </w:p>
    <w:p w14:paraId="468F25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鼓励企业通过与高校、科研院所、知识产权运营机构</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以及金融、中介</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联合开展产学研协同创新合作，经入库备案的，凭项目产学研合作协议、</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科技顾问协议及产学研合作付款凭证给予60%补贴，最高不超过10万，并在各种科技类项目申报中优先推荐、立项。</w:t>
      </w:r>
    </w:p>
    <w:p w14:paraId="53B51D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11.实施重大关键技术攻坚。针对我县主导产业关键核心技术，大力推进“揭榜挂帅”项目，按榜单金额的20%予以后补助，单个企业不超过30万元。</w:t>
      </w:r>
    </w:p>
    <w:p w14:paraId="48B895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12.实行科技成果转移转化奖励。</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在</w:t>
      </w:r>
      <w:r>
        <w:rPr>
          <w:rFonts w:hint="eastAsia" w:ascii="方正仿宋_GBK" w:hAnsi="方正仿宋_GBK" w:eastAsia="方正仿宋_GBK" w:cs="方正仿宋_GBK"/>
          <w:color w:val="000000" w:themeColor="text1"/>
          <w:sz w:val="32"/>
          <w:szCs w:val="32"/>
          <w14:textFill>
            <w14:solidFill>
              <w14:schemeClr w14:val="tx1"/>
            </w14:solidFill>
          </w14:textFill>
        </w:rPr>
        <w:t>科技主管部门登记备案的高校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科</w:t>
      </w:r>
      <w:r>
        <w:rPr>
          <w:rFonts w:hint="eastAsia" w:ascii="方正仿宋_GBK" w:hAnsi="方正仿宋_GBK" w:eastAsia="方正仿宋_GBK" w:cs="方正仿宋_GBK"/>
          <w:color w:val="000000" w:themeColor="text1"/>
          <w:sz w:val="32"/>
          <w:szCs w:val="32"/>
          <w14:textFill>
            <w14:solidFill>
              <w14:schemeClr w14:val="tx1"/>
            </w14:solidFill>
          </w14:textFill>
        </w:rPr>
        <w:t>研院所的科技成果，由企业购买或高校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科研</w:t>
      </w:r>
      <w:r>
        <w:rPr>
          <w:rFonts w:hint="eastAsia" w:ascii="方正仿宋_GBK" w:hAnsi="方正仿宋_GBK" w:eastAsia="方正仿宋_GBK" w:cs="方正仿宋_GBK"/>
          <w:color w:val="000000" w:themeColor="text1"/>
          <w:sz w:val="32"/>
          <w:szCs w:val="32"/>
          <w14:textFill>
            <w14:solidFill>
              <w14:schemeClr w14:val="tx1"/>
            </w14:solidFill>
          </w14:textFill>
        </w:rPr>
        <w:t>院所自行在我县首次实现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转化并产生实际效益的</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对企业按实际购买科技成果支出额的</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20%给予补助，</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最高不超过</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30万元；对高校科研院所给予一次性奖励10万元。</w:t>
      </w:r>
    </w:p>
    <w:p w14:paraId="679FA4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32"/>
          <w:szCs w:val="32"/>
          <w14:textFill>
            <w14:solidFill>
              <w14:schemeClr w14:val="tx1"/>
            </w14:solidFill>
          </w14:textFill>
        </w:rPr>
        <w:t>鼓励企业组织科技成果鉴定并转化。企业科技成果通过省级以上鉴定，并在</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我县实施转化的，给予一次性补贴，单个企业补贴资助金额不超过10万元。</w:t>
      </w:r>
    </w:p>
    <w:p w14:paraId="557FEA7F">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建立健全职务科技成果转化收益分配机制，使科研人员收入与对成果转化的实际贡献相匹配。对已赋权的科技成果，科技成果完成人（团队）按权属比例和有关协议享受权益；对未赋权的科技成果，对科技成果完成人（团队）予以奖励，在单位给予奖励的基础上，再对团队中主要科研人员给予团队收益部分20%的奖励，对团队中主要管理人员给予团队收益部分10%的奖励。</w:t>
      </w:r>
    </w:p>
    <w:p w14:paraId="5E4CD16B">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15.鼓励技术合同交易。对经省技术合同认定登记的企业，且技术合同交易额在500万元（含）以上的，一次性给予2万元奖励；1000万元（含）以上的，一次性给予3万元奖励；2000万元（含</w:t>
      </w: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）以上的，一次性给予5万元奖励；5000万元（含）以上的，一次性给予8万元奖励；1亿元（含）以上的，一次性给予10万元奖励。</w:t>
      </w:r>
    </w:p>
    <w:p w14:paraId="0CDE93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（五）</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积极</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培育</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科技创新主体</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p>
    <w:p w14:paraId="48E81B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16.对新认定及到期重新认定的高新技术企业，分别给予10万元、6万元的奖励。对新入库的国家级科技型中小企业给予1万元的奖励，对重新入库的国家级科技型中小企业给予0.5万元的奖励。</w:t>
      </w:r>
    </w:p>
    <w:p w14:paraId="07842D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7.积极培育独角兽（潜在、种子）企业、瞪羚（潜在）企业。被认定为独角兽（潜在、种子）企业、瞪羚（潜在）企业的，按照省级奖励资金50%给予配套奖励。</w:t>
      </w:r>
    </w:p>
    <w:p w14:paraId="5C90A9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对</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获得国家级、省级、市级</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各类科技</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示范企业</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绿色创新企业</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）、优势企业（试点）分别</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给予</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元</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元</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万</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元</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的奖励。</w:t>
      </w:r>
    </w:p>
    <w:p w14:paraId="0CAE44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六</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）鼓励科技和金融结合。</w:t>
      </w:r>
    </w:p>
    <w:p w14:paraId="0D6F5D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w:t>
      </w:r>
      <w:r>
        <w:rPr>
          <w:rFonts w:hint="eastAsia" w:ascii="方正仿宋_GBK" w:hAnsi="方正仿宋_GBK" w:eastAsia="方正仿宋_GBK" w:cs="方正仿宋_GBK"/>
          <w:color w:val="000000" w:themeColor="text1"/>
          <w:sz w:val="32"/>
          <w:szCs w:val="32"/>
          <w14:textFill>
            <w14:solidFill>
              <w14:schemeClr w14:val="tx1"/>
            </w14:solidFill>
          </w14:textFill>
        </w:rPr>
        <w:t>鼓励金融部门开展知识产权质押融资业务；鼓励担保机构为科技型中小企业提供担保服务；鼓励金融部门加大对科技型中小企业的授信；对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科技型中小企业、</w:t>
      </w:r>
      <w:r>
        <w:rPr>
          <w:rFonts w:hint="eastAsia" w:ascii="方正仿宋_GBK" w:hAnsi="方正仿宋_GBK" w:eastAsia="方正仿宋_GBK" w:cs="方正仿宋_GBK"/>
          <w:color w:val="000000" w:themeColor="text1"/>
          <w:sz w:val="32"/>
          <w:szCs w:val="32"/>
          <w14:textFill>
            <w14:solidFill>
              <w14:schemeClr w14:val="tx1"/>
            </w14:solidFill>
          </w14:textFill>
        </w:rPr>
        <w:t>创新创业人才申请“财园信贷通”、“科贷通”和小额贷款给于倾斜。</w:t>
      </w:r>
    </w:p>
    <w:p w14:paraId="286AD8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七</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）鼓励科技服务</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机构发展</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p>
    <w:p w14:paraId="54382F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20.优化科技服务业扶持政策，大力培育科技服务机构，重点发展研发设计、技术交易、创业孵化、科技投融资、知识产权评估、专利信息利用、科技咨询、电子商务、物联网等专业或综合性的科技服务机构。积极引导科技服务机构创新服务模式和商业模式，发展全链条全方位的科技服务。对在我县注册、新成立新型科技服务机构，在一年内其服务性收入达到150万以上，给予5万元一次性资助。</w:t>
      </w:r>
    </w:p>
    <w:p w14:paraId="5F1BCC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八</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）鼓励企业加大研发投入。</w:t>
      </w:r>
    </w:p>
    <w:p w14:paraId="704C73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21.依法落实高新技术企业税收优惠政策，强化企业研发投入主体地位，鼓励全社会加大研发投入。对已建立研发投入制度、进行研发费用归集、建立研发辅助账、按月在统计联网直报平台填报研发费用的企业，择优给予奖补，全县奖补总额暂定为50万元/年。</w:t>
      </w:r>
    </w:p>
    <w:p w14:paraId="14C13B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三、组织实施</w:t>
      </w:r>
    </w:p>
    <w:p w14:paraId="5E9F57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（一）</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组织</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领导。</w:t>
      </w:r>
      <w:r>
        <w:rPr>
          <w:rFonts w:hint="eastAsia" w:ascii="方正仿宋_GBK" w:hAnsi="方正仿宋_GBK" w:eastAsia="方正仿宋_GBK" w:cs="方正仿宋_GBK"/>
          <w:color w:val="000000" w:themeColor="text1"/>
          <w:sz w:val="32"/>
          <w:szCs w:val="32"/>
          <w14:textFill>
            <w14:solidFill>
              <w14:schemeClr w14:val="tx1"/>
            </w14:solidFill>
          </w14:textFill>
        </w:rPr>
        <w:t>此项工作由县创新驱动“5511”工程暨加大全社会研发投入攻坚行动领导小组负责组织实施，领导小组办公室〔县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工信局（</w:t>
      </w:r>
      <w:r>
        <w:rPr>
          <w:rFonts w:hint="eastAsia" w:ascii="方正仿宋_GBK" w:hAnsi="方正仿宋_GBK" w:eastAsia="方正仿宋_GBK" w:cs="方正仿宋_GBK"/>
          <w:color w:val="000000" w:themeColor="text1"/>
          <w:sz w:val="32"/>
          <w:szCs w:val="32"/>
          <w14:textFill>
            <w14:solidFill>
              <w14:schemeClr w14:val="tx1"/>
            </w14:solidFill>
          </w14:textFill>
        </w:rPr>
        <w:t>科技局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具体负责县科技创新发展日常事务及奖励、资助（补助）审核工作。</w:t>
      </w:r>
    </w:p>
    <w:p w14:paraId="63D278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（二）</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加强培训</w:t>
      </w:r>
      <w:r>
        <w:rPr>
          <w:rFonts w:hint="eastAsia" w:ascii="方正楷体_GBK" w:hAnsi="方正楷体_GBK" w:eastAsia="方正楷体_GBK" w:cs="方正楷体_GBK"/>
          <w:b w:val="0"/>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进一步强化新时代科技创新人才队伍建设，每年安排一定的专项资金用于科技人才培训、学术交流和产学研合作等活动。</w:t>
      </w:r>
    </w:p>
    <w:p w14:paraId="699C0C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14:textFill>
            <w14:solidFill>
              <w14:schemeClr w14:val="tx1"/>
            </w14:solidFill>
          </w14:textFill>
        </w:rPr>
        <w:t>（三）完善机制。</w:t>
      </w:r>
      <w:r>
        <w:rPr>
          <w:rFonts w:hint="eastAsia" w:ascii="方正仿宋_GBK" w:hAnsi="方正仿宋_GBK" w:eastAsia="方正仿宋_GBK" w:cs="方正仿宋_GBK"/>
          <w:color w:val="000000" w:themeColor="text1"/>
          <w:sz w:val="32"/>
          <w:szCs w:val="32"/>
          <w14:textFill>
            <w14:solidFill>
              <w14:schemeClr w14:val="tx1"/>
            </w14:solidFill>
          </w14:textFill>
        </w:rPr>
        <w:t>申请奖励、资助（补助）的各种资料，必须真实、齐全、准确。科技、财政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、工信、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统计</w:t>
      </w:r>
      <w:r>
        <w:rPr>
          <w:rFonts w:hint="eastAsia" w:ascii="方正仿宋_GBK" w:hAnsi="方正仿宋_GBK" w:eastAsia="方正仿宋_GBK" w:cs="方正仿宋_GBK"/>
          <w:color w:val="000000" w:themeColor="text1"/>
          <w:sz w:val="32"/>
          <w:szCs w:val="32"/>
          <w14:textFill>
            <w14:solidFill>
              <w14:schemeClr w14:val="tx1"/>
            </w14:solidFill>
          </w14:textFill>
        </w:rPr>
        <w:t>等部门要认真审核，严格把关，对以欺瞒哄骗、弄虚作假等方式套取奖励、资助（补助）资金的，一经核实，除追回全额资金外，5年之内不准享受政府各类奖励或资助（补助），同时追究有关人员的责任。</w:t>
      </w:r>
    </w:p>
    <w:p w14:paraId="26B471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四、附则</w:t>
      </w:r>
    </w:p>
    <w:p w14:paraId="5BF085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（一）本办法所述新认定、新批准、新申报、新授权等，均按年度计算，自每年1月1日起统计，均为一次性奖励和资助（补助）。</w:t>
      </w:r>
    </w:p>
    <w:p w14:paraId="45BD8F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本办法中同一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奖项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按照就高原则奖励，不重复奖励（</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如：某一奖项同时获得国家级、省级、市级奖励的，只对国家级实行奖励。</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本办法中所涉及的内容如与其他政策重复，按照就高原则奖励，不得重复奖励；符合享受国家、省、市科技创新有关奖励和资助（补助）政策的，按照国家、省、市有关文件执行。</w:t>
      </w:r>
    </w:p>
    <w:p w14:paraId="2C1651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县财政局负责保障科技创新投入，安排专项资金用于扶持科技创新。</w:t>
      </w:r>
    </w:p>
    <w:p w14:paraId="282579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四</w:t>
      </w:r>
      <w:r>
        <w:rPr>
          <w:rFonts w:hint="eastAsia" w:ascii="方正仿宋_GBK" w:hAnsi="方正仿宋_GBK" w:eastAsia="方正仿宋_GBK" w:cs="方正仿宋_GBK"/>
          <w:color w:val="000000" w:themeColor="text1"/>
          <w:sz w:val="32"/>
          <w:szCs w:val="32"/>
          <w14:textFill>
            <w14:solidFill>
              <w14:schemeClr w14:val="tx1"/>
            </w14:solidFill>
          </w14:textFill>
        </w:rPr>
        <w:t>）县审计局负责对政策执行和资金使用进行审计监督。</w:t>
      </w:r>
    </w:p>
    <w:p w14:paraId="2A2BB7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五</w:t>
      </w:r>
      <w:r>
        <w:rPr>
          <w:rFonts w:hint="eastAsia" w:ascii="方正仿宋_GBK" w:hAnsi="方正仿宋_GBK" w:eastAsia="方正仿宋_GBK" w:cs="方正仿宋_GBK"/>
          <w:color w:val="000000" w:themeColor="text1"/>
          <w:sz w:val="32"/>
          <w:szCs w:val="32"/>
          <w14:textFill>
            <w14:solidFill>
              <w14:schemeClr w14:val="tx1"/>
            </w14:solidFill>
          </w14:textFill>
        </w:rPr>
        <w:t>）本办法由创新驱动“5511”工程工作领导小组办公室负责解释。</w:t>
      </w:r>
    </w:p>
    <w:p w14:paraId="405408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六</w:t>
      </w:r>
      <w:r>
        <w:rPr>
          <w:rFonts w:hint="eastAsia" w:ascii="方正仿宋_GBK" w:hAnsi="方正仿宋_GBK" w:eastAsia="方正仿宋_GBK" w:cs="方正仿宋_GBK"/>
          <w:color w:val="000000" w:themeColor="text1"/>
          <w:sz w:val="32"/>
          <w:szCs w:val="32"/>
          <w14:textFill>
            <w14:solidFill>
              <w14:schemeClr w14:val="tx1"/>
            </w14:solidFill>
          </w14:textFill>
        </w:rPr>
        <w:t>）本办法自发布之日起施行。</w:t>
      </w:r>
    </w:p>
    <w:p w14:paraId="704A9752">
      <w:pPr>
        <w:pStyle w:val="2"/>
        <w:rPr>
          <w:rFonts w:hint="eastAsia"/>
          <w:color w:val="000000" w:themeColor="text1"/>
          <w:lang w:val="en-US" w:eastAsia="zh-CN"/>
          <w14:textFill>
            <w14:solidFill>
              <w14:schemeClr w14:val="tx1"/>
            </w14:solidFill>
          </w14:textFill>
        </w:rPr>
      </w:pPr>
    </w:p>
    <w:p w14:paraId="1FD1C706">
      <w:pPr>
        <w:pStyle w:val="6"/>
        <w:rPr>
          <w:rFonts w:hint="eastAsia"/>
          <w:color w:val="000000" w:themeColor="text1"/>
          <w:lang w:val="en-US" w:eastAsia="zh-CN"/>
          <w14:textFill>
            <w14:solidFill>
              <w14:schemeClr w14:val="tx1"/>
            </w14:solidFill>
          </w14:textFill>
        </w:rPr>
      </w:pPr>
    </w:p>
    <w:p w14:paraId="75699CCC">
      <w:pPr>
        <w:rPr>
          <w:rFonts w:hint="eastAsia"/>
          <w:color w:val="000000" w:themeColor="text1"/>
          <w:lang w:val="en-US" w:eastAsia="zh-CN"/>
          <w14:textFill>
            <w14:solidFill>
              <w14:schemeClr w14:val="tx1"/>
            </w14:solidFill>
          </w14:textFill>
        </w:rPr>
      </w:pPr>
    </w:p>
    <w:p w14:paraId="535BFA78">
      <w:pPr>
        <w:pStyle w:val="2"/>
        <w:rPr>
          <w:rFonts w:hint="eastAsia"/>
          <w:color w:val="000000" w:themeColor="text1"/>
          <w:lang w:val="en-US" w:eastAsia="zh-CN"/>
          <w14:textFill>
            <w14:solidFill>
              <w14:schemeClr w14:val="tx1"/>
            </w14:solidFill>
          </w14:textFill>
        </w:rPr>
      </w:pPr>
    </w:p>
    <w:p w14:paraId="65D2EB2B">
      <w:pPr>
        <w:rPr>
          <w:rFonts w:hint="eastAsia"/>
          <w:color w:val="000000" w:themeColor="text1"/>
          <w:lang w:val="en-US" w:eastAsia="zh-CN"/>
          <w14:textFill>
            <w14:solidFill>
              <w14:schemeClr w14:val="tx1"/>
            </w14:solidFill>
          </w14:textFill>
        </w:rPr>
      </w:pPr>
    </w:p>
    <w:p w14:paraId="3B54F3F5">
      <w:pPr>
        <w:pStyle w:val="2"/>
        <w:rPr>
          <w:rFonts w:hint="eastAsia"/>
          <w:color w:val="000000" w:themeColor="text1"/>
          <w:lang w:val="en-US" w:eastAsia="zh-CN"/>
          <w14:textFill>
            <w14:solidFill>
              <w14:schemeClr w14:val="tx1"/>
            </w14:solidFill>
          </w14:textFill>
        </w:rPr>
      </w:pPr>
    </w:p>
    <w:p w14:paraId="7C757EC0">
      <w:pPr>
        <w:rPr>
          <w:rFonts w:hint="eastAsia"/>
          <w:color w:val="000000" w:themeColor="text1"/>
          <w:lang w:val="en-US" w:eastAsia="zh-CN"/>
          <w14:textFill>
            <w14:solidFill>
              <w14:schemeClr w14:val="tx1"/>
            </w14:solidFill>
          </w14:textFill>
        </w:rPr>
      </w:pPr>
    </w:p>
    <w:p w14:paraId="36500ECF">
      <w:pPr>
        <w:pStyle w:val="2"/>
        <w:rPr>
          <w:rFonts w:hint="eastAsia"/>
          <w:color w:val="000000" w:themeColor="text1"/>
          <w:lang w:val="en-US" w:eastAsia="zh-CN"/>
          <w14:textFill>
            <w14:solidFill>
              <w14:schemeClr w14:val="tx1"/>
            </w14:solidFill>
          </w14:textFill>
        </w:rPr>
      </w:pPr>
    </w:p>
    <w:p w14:paraId="1873FBF7">
      <w:pPr>
        <w:rPr>
          <w:rFonts w:hint="eastAsia"/>
          <w:color w:val="000000" w:themeColor="text1"/>
          <w:lang w:val="en-US" w:eastAsia="zh-CN"/>
          <w14:textFill>
            <w14:solidFill>
              <w14:schemeClr w14:val="tx1"/>
            </w14:solidFill>
          </w14:textFill>
        </w:rPr>
      </w:pPr>
    </w:p>
    <w:p w14:paraId="04DABF3E">
      <w:pPr>
        <w:pStyle w:val="2"/>
        <w:rPr>
          <w:rFonts w:hint="eastAsia"/>
          <w:color w:val="000000" w:themeColor="text1"/>
          <w:lang w:val="en-US" w:eastAsia="zh-CN"/>
          <w14:textFill>
            <w14:solidFill>
              <w14:schemeClr w14:val="tx1"/>
            </w14:solidFill>
          </w14:textFill>
        </w:rPr>
      </w:pPr>
    </w:p>
    <w:p w14:paraId="1C7C86B8">
      <w:pPr>
        <w:rPr>
          <w:rFonts w:hint="eastAsia"/>
          <w:color w:val="000000" w:themeColor="text1"/>
          <w:lang w:val="en-US" w:eastAsia="zh-CN"/>
          <w14:textFill>
            <w14:solidFill>
              <w14:schemeClr w14:val="tx1"/>
            </w14:solidFill>
          </w14:textFill>
        </w:rPr>
      </w:pPr>
    </w:p>
    <w:p w14:paraId="0617B56C">
      <w:pPr>
        <w:pStyle w:val="2"/>
        <w:rPr>
          <w:rFonts w:hint="eastAsia"/>
          <w:lang w:val="en-US" w:eastAsia="zh-CN"/>
        </w:rPr>
      </w:pPr>
    </w:p>
    <w:p w14:paraId="721B1FDD">
      <w:pPr>
        <w:rPr>
          <w:rFonts w:hint="eastAsia"/>
          <w:color w:val="000000" w:themeColor="text1"/>
          <w:lang w:val="en-US" w:eastAsia="zh-CN"/>
          <w14:textFill>
            <w14:solidFill>
              <w14:schemeClr w14:val="tx1"/>
            </w14:solidFill>
          </w14:textFill>
        </w:rPr>
      </w:pPr>
    </w:p>
    <w:p w14:paraId="564B9170">
      <w:pPr>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200660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15.8pt;height:0pt;width:447.85pt;z-index:251661312;mso-width-relative:page;mso-height-relative:page;" filled="f" stroked="t" coordsize="21600,21600" o:gfxdata="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Qh8tcAAAAJAQAADwAAAAAAAAABACAAAAAiAAAAZHJzL2Rvd25yZXYueG1sUEsB&#10;AhQAFAAAAAgAh07iQPoQTZ72AQAA5AMAAA4AAAAAAAAAAQAgAAAAJgEAAGRycy9lMm9Eb2MueG1s&#10;UEsFBgAAAAAGAAYAWQEAAI4FAAAAAA==&#10;">
                <v:fill on="f" focussize="0,0"/>
                <v:stroke color="#000000" joinstyle="round"/>
                <v:imagedata o:title=""/>
                <o:lock v:ext="edit" aspectratio="f"/>
              </v:line>
            </w:pict>
          </mc:Fallback>
        </mc:AlternateContent>
      </w:r>
    </w:p>
    <w:p w14:paraId="5F84EC93">
      <w:pPr>
        <w:keepNext w:val="0"/>
        <w:keepLines w:val="0"/>
        <w:pageBreakBefore w:val="0"/>
        <w:widowControl w:val="0"/>
        <w:kinsoku/>
        <w:wordWrap/>
        <w:overflowPunct/>
        <w:topLinePunct w:val="0"/>
        <w:autoSpaceDE/>
        <w:autoSpaceDN/>
        <w:bidi w:val="0"/>
        <w:adjustRightInd/>
        <w:snapToGrid/>
        <w:spacing w:line="520" w:lineRule="exact"/>
        <w:ind w:left="1119" w:leftChars="133" w:hanging="840" w:hangingChars="300"/>
        <w:textAlignment w:val="auto"/>
        <w:rPr>
          <w:rFonts w:hint="eastAsia" w:ascii="方正仿宋_GBK" w:hAnsi="方正仿宋_GBK" w:eastAsia="方正仿宋_GBK" w:cs="方正仿宋_GBK"/>
          <w:color w:val="000000" w:themeColor="text1"/>
          <w:spacing w:val="-6"/>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抄送：县</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委各部门、县纪委办、县人大办、县政协办、县人武部</w:t>
      </w:r>
      <w:r>
        <w:rPr>
          <w:rFonts w:hint="eastAsia" w:ascii="方正仿宋_GBK" w:hAnsi="方正仿宋_GBK" w:eastAsia="方正仿宋_GBK" w:cs="方正仿宋_GBK"/>
          <w:color w:val="000000" w:themeColor="text1"/>
          <w:spacing w:val="-6"/>
          <w:sz w:val="28"/>
          <w:szCs w:val="28"/>
          <w:lang w:eastAsia="zh-CN"/>
          <w14:textFill>
            <w14:solidFill>
              <w14:schemeClr w14:val="tx1"/>
            </w14:solidFill>
          </w14:textFill>
        </w:rPr>
        <w:t>保障</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科、县法院、县检察院、群众团体、新闻单位</w:t>
      </w:r>
    </w:p>
    <w:p w14:paraId="173C5EC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415290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2.7pt;height:0pt;width:447.85pt;z-index:251660288;mso-width-relative:page;mso-height-relative:page;" filled="f" stroked="t" coordsize="21600,21600" o:gfxdata="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HTh9gAAAAJAQAADwAAAAAAAAABACAAAAAiAAAAZHJzL2Rvd25yZXYueG1sUEsB&#10;AhQAFAAAAAgAh07iQNjGhUT1AQAA5AMAAA4AAAAAAAAAAQAgAAAAJwEAAGRycy9lMm9Eb2MueG1s&#10;UEsFBgAAAAAGAAYAWQEAAI4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568769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pt;height:0pt;width:447.85pt;z-index:251659264;mso-width-relative:page;mso-height-relative:page;" filled="f" stroked="t" coordsize="21600,21600" o:gfxdata="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RlnFgw1/Pbr&#10;rz9fvt/9/kbr7c8fbJZE6j2WFHtt1+G4Q78OifG+CSb9iQvbZ2EPJ2HlPjJBh7P5xev5JWUQ977i&#10;4aIPGN9KZ1gyKq6VTZyhhN07jJSMQu9D0rG2rK/45Wya4IAGsKHGk2k8kUDb5rvotKpvlNbpBoZ2&#10;c60D20EagvwlSoT7X1hKsgLshrjsGsajk1C/sTWLB0/yWHoVPJVgZM2ZlvSIkkWAUEZQ+pxISq0t&#10;VZBUHXRM1sbVB2rG1gfVdqTEJFeZPNT8XO9xUNN0/bvPSA+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2JEqdUAAAAHAQAADwAAAAAAAAABACAAAAAiAAAAZHJzL2Rvd25yZXYueG1sUEsBAhQA&#10;FAAAAAgAh07iQN1sZSr1AQAA5AMAAA4AAAAAAAAAAQAgAAAAJA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浮梁县人民政府办公室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23</w:t>
      </w:r>
      <w:r>
        <w:rPr>
          <w:rFonts w:hint="eastAsia" w:ascii="方正仿宋_GBK" w:hAnsi="方正仿宋_GBK" w:eastAsia="方正仿宋_GBK" w:cs="方正仿宋_GBK"/>
          <w:color w:val="000000" w:themeColor="text1"/>
          <w:sz w:val="28"/>
          <w:szCs w:val="28"/>
          <w14:textFill>
            <w14:solidFill>
              <w14:schemeClr w14:val="tx1"/>
            </w14:solidFill>
          </w14:textFill>
        </w:rPr>
        <w:t>日印发</w:t>
      </w:r>
    </w:p>
    <w:sectPr>
      <w:headerReference r:id="rId3" w:type="default"/>
      <w:footerReference r:id="rId4" w:type="default"/>
      <w:pgSz w:w="11911" w:h="16838"/>
      <w:pgMar w:top="2098" w:right="1587" w:bottom="1984" w:left="1587" w:header="850" w:footer="1701" w:gutter="0"/>
      <w:pgBorders>
        <w:top w:val="none" w:sz="0" w:space="0"/>
        <w:left w:val="none" w:sz="0" w:space="0"/>
        <w:bottom w:val="none" w:sz="0" w:space="0"/>
        <w:right w:val="none" w:sz="0" w:space="0"/>
      </w:pgBorders>
      <w:pgNumType w:fmt="decimal"/>
      <w:cols w:space="0" w:num="1"/>
      <w:rtlGutter w:val="0"/>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1"/>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DAA4">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E19F9C">
                          <w:pPr>
                            <w:pStyle w:val="8"/>
                            <w:rPr>
                              <w:rStyle w:val="20"/>
                              <w:rFonts w:hint="eastAsia" w:asciiTheme="minorEastAsia" w:hAnsiTheme="minorEastAsia" w:eastAsiaTheme="minorEastAsia" w:cstheme="minorEastAsia"/>
                              <w:sz w:val="28"/>
                              <w:szCs w:val="28"/>
                              <w:lang w:val="en-US" w:eastAsia="zh-CN"/>
                            </w:rPr>
                          </w:pPr>
                          <w:r>
                            <w:rPr>
                              <w:rStyle w:val="20"/>
                              <w:rFonts w:hint="eastAsia" w:asciiTheme="minorEastAsia" w:hAnsiTheme="minorEastAsia" w:cstheme="minorEastAsia"/>
                              <w:sz w:val="28"/>
                              <w:szCs w:val="28"/>
                              <w:lang w:val="en-US" w:eastAsia="zh-CN"/>
                            </w:rPr>
                            <w:t xml:space="preserve">— </w:t>
                          </w:r>
                          <w:r>
                            <w:rPr>
                              <w:rStyle w:val="20"/>
                              <w:rFonts w:hint="eastAsia" w:asciiTheme="minorEastAsia" w:hAnsiTheme="minorEastAsia" w:cstheme="minorEastAsia"/>
                              <w:sz w:val="28"/>
                              <w:szCs w:val="28"/>
                              <w:lang w:val="en-US" w:eastAsia="zh-CN"/>
                            </w:rPr>
                            <w:fldChar w:fldCharType="begin"/>
                          </w:r>
                          <w:r>
                            <w:rPr>
                              <w:rStyle w:val="20"/>
                              <w:rFonts w:hint="eastAsia" w:asciiTheme="minorEastAsia" w:hAnsiTheme="minorEastAsia" w:cstheme="minorEastAsia"/>
                              <w:sz w:val="28"/>
                              <w:szCs w:val="28"/>
                              <w:lang w:val="en-US" w:eastAsia="zh-CN"/>
                            </w:rPr>
                            <w:instrText xml:space="preserve"> PAGE  \* MERGEFORMAT </w:instrText>
                          </w:r>
                          <w:r>
                            <w:rPr>
                              <w:rStyle w:val="20"/>
                              <w:rFonts w:hint="eastAsia" w:asciiTheme="minorEastAsia" w:hAnsiTheme="minorEastAsia" w:cstheme="minorEastAsia"/>
                              <w:sz w:val="28"/>
                              <w:szCs w:val="28"/>
                              <w:lang w:val="en-US" w:eastAsia="zh-CN"/>
                            </w:rPr>
                            <w:fldChar w:fldCharType="separate"/>
                          </w:r>
                          <w:r>
                            <w:rPr>
                              <w:rStyle w:val="20"/>
                              <w:rFonts w:hint="eastAsia" w:asciiTheme="minorEastAsia" w:hAnsiTheme="minorEastAsia" w:cstheme="minorEastAsia"/>
                              <w:sz w:val="28"/>
                              <w:szCs w:val="28"/>
                              <w:lang w:val="en-US" w:eastAsia="zh-CN"/>
                            </w:rPr>
                            <w:t>16</w:t>
                          </w:r>
                          <w:r>
                            <w:rPr>
                              <w:rStyle w:val="20"/>
                              <w:rFonts w:hint="eastAsia" w:asciiTheme="minorEastAsia" w:hAnsiTheme="minorEastAsia" w:cstheme="minorEastAsia"/>
                              <w:sz w:val="28"/>
                              <w:szCs w:val="28"/>
                              <w:lang w:val="en-US" w:eastAsia="zh-CN"/>
                            </w:rPr>
                            <w:fldChar w:fldCharType="end"/>
                          </w:r>
                          <w:r>
                            <w:rPr>
                              <w:rStyle w:val="20"/>
                              <w:rFonts w:hint="eastAsia" w:asciiTheme="minorEastAsia" w:hAnsi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9E19F9C">
                    <w:pPr>
                      <w:pStyle w:val="8"/>
                      <w:rPr>
                        <w:rStyle w:val="20"/>
                        <w:rFonts w:hint="eastAsia" w:asciiTheme="minorEastAsia" w:hAnsiTheme="minorEastAsia" w:eastAsiaTheme="minorEastAsia" w:cstheme="minorEastAsia"/>
                        <w:sz w:val="28"/>
                        <w:szCs w:val="28"/>
                        <w:lang w:val="en-US" w:eastAsia="zh-CN"/>
                      </w:rPr>
                    </w:pPr>
                    <w:r>
                      <w:rPr>
                        <w:rStyle w:val="20"/>
                        <w:rFonts w:hint="eastAsia" w:asciiTheme="minorEastAsia" w:hAnsiTheme="minorEastAsia" w:cstheme="minorEastAsia"/>
                        <w:sz w:val="28"/>
                        <w:szCs w:val="28"/>
                        <w:lang w:val="en-US" w:eastAsia="zh-CN"/>
                      </w:rPr>
                      <w:t xml:space="preserve">— </w:t>
                    </w:r>
                    <w:r>
                      <w:rPr>
                        <w:rStyle w:val="20"/>
                        <w:rFonts w:hint="eastAsia" w:asciiTheme="minorEastAsia" w:hAnsiTheme="minorEastAsia" w:cstheme="minorEastAsia"/>
                        <w:sz w:val="28"/>
                        <w:szCs w:val="28"/>
                        <w:lang w:val="en-US" w:eastAsia="zh-CN"/>
                      </w:rPr>
                      <w:fldChar w:fldCharType="begin"/>
                    </w:r>
                    <w:r>
                      <w:rPr>
                        <w:rStyle w:val="20"/>
                        <w:rFonts w:hint="eastAsia" w:asciiTheme="minorEastAsia" w:hAnsiTheme="minorEastAsia" w:cstheme="minorEastAsia"/>
                        <w:sz w:val="28"/>
                        <w:szCs w:val="28"/>
                        <w:lang w:val="en-US" w:eastAsia="zh-CN"/>
                      </w:rPr>
                      <w:instrText xml:space="preserve"> PAGE  \* MERGEFORMAT </w:instrText>
                    </w:r>
                    <w:r>
                      <w:rPr>
                        <w:rStyle w:val="20"/>
                        <w:rFonts w:hint="eastAsia" w:asciiTheme="minorEastAsia" w:hAnsiTheme="minorEastAsia" w:cstheme="minorEastAsia"/>
                        <w:sz w:val="28"/>
                        <w:szCs w:val="28"/>
                        <w:lang w:val="en-US" w:eastAsia="zh-CN"/>
                      </w:rPr>
                      <w:fldChar w:fldCharType="separate"/>
                    </w:r>
                    <w:r>
                      <w:rPr>
                        <w:rStyle w:val="20"/>
                        <w:rFonts w:hint="eastAsia" w:asciiTheme="minorEastAsia" w:hAnsiTheme="minorEastAsia" w:cstheme="minorEastAsia"/>
                        <w:sz w:val="28"/>
                        <w:szCs w:val="28"/>
                        <w:lang w:val="en-US" w:eastAsia="zh-CN"/>
                      </w:rPr>
                      <w:t>16</w:t>
                    </w:r>
                    <w:r>
                      <w:rPr>
                        <w:rStyle w:val="20"/>
                        <w:rFonts w:hint="eastAsia" w:asciiTheme="minorEastAsia" w:hAnsiTheme="minorEastAsia" w:cstheme="minorEastAsia"/>
                        <w:sz w:val="28"/>
                        <w:szCs w:val="28"/>
                        <w:lang w:val="en-US" w:eastAsia="zh-CN"/>
                      </w:rPr>
                      <w:fldChar w:fldCharType="end"/>
                    </w:r>
                    <w:r>
                      <w:rPr>
                        <w:rStyle w:val="20"/>
                        <w:rFonts w:hint="eastAsia" w:asciiTheme="minorEastAsia" w:hAnsi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91CF7">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TM4ZDg4NTQxOGI5MzM1ZTNiNzdlYTA4MzdkNmIifQ=="/>
  </w:docVars>
  <w:rsids>
    <w:rsidRoot w:val="00000000"/>
    <w:rsid w:val="00382DEE"/>
    <w:rsid w:val="00A010BF"/>
    <w:rsid w:val="011F089D"/>
    <w:rsid w:val="028F7976"/>
    <w:rsid w:val="033B6E7D"/>
    <w:rsid w:val="03B66504"/>
    <w:rsid w:val="047776D5"/>
    <w:rsid w:val="061D5612"/>
    <w:rsid w:val="06824361"/>
    <w:rsid w:val="07591FC8"/>
    <w:rsid w:val="082C3D59"/>
    <w:rsid w:val="084035FD"/>
    <w:rsid w:val="084C6670"/>
    <w:rsid w:val="089B247E"/>
    <w:rsid w:val="090F4481"/>
    <w:rsid w:val="092631DC"/>
    <w:rsid w:val="09D8609B"/>
    <w:rsid w:val="0AAD0704"/>
    <w:rsid w:val="0AAF3902"/>
    <w:rsid w:val="0B097861"/>
    <w:rsid w:val="0B993293"/>
    <w:rsid w:val="0BA569D2"/>
    <w:rsid w:val="0C310998"/>
    <w:rsid w:val="0CCA3D4F"/>
    <w:rsid w:val="0DE246BD"/>
    <w:rsid w:val="0E694883"/>
    <w:rsid w:val="0E8354E2"/>
    <w:rsid w:val="0F285F65"/>
    <w:rsid w:val="0F895A77"/>
    <w:rsid w:val="0F904D9E"/>
    <w:rsid w:val="12E0284B"/>
    <w:rsid w:val="130B7EEE"/>
    <w:rsid w:val="131A745F"/>
    <w:rsid w:val="13733E70"/>
    <w:rsid w:val="14145D13"/>
    <w:rsid w:val="143A7F1D"/>
    <w:rsid w:val="14D5432E"/>
    <w:rsid w:val="16C62758"/>
    <w:rsid w:val="17FD074D"/>
    <w:rsid w:val="18C45A60"/>
    <w:rsid w:val="18E5205B"/>
    <w:rsid w:val="1AB12DCA"/>
    <w:rsid w:val="1AD03986"/>
    <w:rsid w:val="1B81253B"/>
    <w:rsid w:val="1B8F7DC9"/>
    <w:rsid w:val="1CB23C88"/>
    <w:rsid w:val="1CB82409"/>
    <w:rsid w:val="1DBC3285"/>
    <w:rsid w:val="1E9049A9"/>
    <w:rsid w:val="1E944C69"/>
    <w:rsid w:val="1EF96B72"/>
    <w:rsid w:val="1F95570F"/>
    <w:rsid w:val="20DC2DA5"/>
    <w:rsid w:val="2220564D"/>
    <w:rsid w:val="22745AB0"/>
    <w:rsid w:val="244C45FD"/>
    <w:rsid w:val="24C90D82"/>
    <w:rsid w:val="25065E30"/>
    <w:rsid w:val="2509366D"/>
    <w:rsid w:val="25127CE6"/>
    <w:rsid w:val="285F629A"/>
    <w:rsid w:val="28601998"/>
    <w:rsid w:val="28756085"/>
    <w:rsid w:val="289B0CF6"/>
    <w:rsid w:val="29DC28E2"/>
    <w:rsid w:val="2A400732"/>
    <w:rsid w:val="2B22254D"/>
    <w:rsid w:val="2C5C1A8E"/>
    <w:rsid w:val="2C5F6E7B"/>
    <w:rsid w:val="2D3D53CF"/>
    <w:rsid w:val="2D9B3BC1"/>
    <w:rsid w:val="2E485A3F"/>
    <w:rsid w:val="2EA26EDE"/>
    <w:rsid w:val="2F73217C"/>
    <w:rsid w:val="2FAA6DDF"/>
    <w:rsid w:val="30593C3F"/>
    <w:rsid w:val="30625446"/>
    <w:rsid w:val="308E6D4A"/>
    <w:rsid w:val="309F7D97"/>
    <w:rsid w:val="31956120"/>
    <w:rsid w:val="32A221C5"/>
    <w:rsid w:val="338A1C7F"/>
    <w:rsid w:val="33E747CE"/>
    <w:rsid w:val="35857D0A"/>
    <w:rsid w:val="388437F4"/>
    <w:rsid w:val="38932D33"/>
    <w:rsid w:val="38B71190"/>
    <w:rsid w:val="38D93D4B"/>
    <w:rsid w:val="3910602C"/>
    <w:rsid w:val="39464BC3"/>
    <w:rsid w:val="394A225E"/>
    <w:rsid w:val="396F738B"/>
    <w:rsid w:val="3A452D3B"/>
    <w:rsid w:val="3B732951"/>
    <w:rsid w:val="3B8737D6"/>
    <w:rsid w:val="3BD436ED"/>
    <w:rsid w:val="3BFF3750"/>
    <w:rsid w:val="3C6D4343"/>
    <w:rsid w:val="3DCC471C"/>
    <w:rsid w:val="3DE11DF4"/>
    <w:rsid w:val="3E2A3F0B"/>
    <w:rsid w:val="3E95498C"/>
    <w:rsid w:val="3EF55C22"/>
    <w:rsid w:val="3F125FDD"/>
    <w:rsid w:val="42796625"/>
    <w:rsid w:val="42F26851"/>
    <w:rsid w:val="43B00570"/>
    <w:rsid w:val="454235DA"/>
    <w:rsid w:val="4587555A"/>
    <w:rsid w:val="46E95DE7"/>
    <w:rsid w:val="476615BC"/>
    <w:rsid w:val="48BC522F"/>
    <w:rsid w:val="491D6488"/>
    <w:rsid w:val="49220591"/>
    <w:rsid w:val="4926147C"/>
    <w:rsid w:val="49357294"/>
    <w:rsid w:val="49494303"/>
    <w:rsid w:val="495B5FA5"/>
    <w:rsid w:val="4BD1564C"/>
    <w:rsid w:val="4D4E37ED"/>
    <w:rsid w:val="4E6220AB"/>
    <w:rsid w:val="4ED2217F"/>
    <w:rsid w:val="4F471A1D"/>
    <w:rsid w:val="4FD3247D"/>
    <w:rsid w:val="50184BA9"/>
    <w:rsid w:val="502A2179"/>
    <w:rsid w:val="50417002"/>
    <w:rsid w:val="508B2047"/>
    <w:rsid w:val="52867F77"/>
    <w:rsid w:val="531B16C9"/>
    <w:rsid w:val="53241436"/>
    <w:rsid w:val="53B3511F"/>
    <w:rsid w:val="53CB0CFA"/>
    <w:rsid w:val="546A4915"/>
    <w:rsid w:val="54964F68"/>
    <w:rsid w:val="54AE27FD"/>
    <w:rsid w:val="54D11993"/>
    <w:rsid w:val="56221F0C"/>
    <w:rsid w:val="56673786"/>
    <w:rsid w:val="572A5678"/>
    <w:rsid w:val="574016CF"/>
    <w:rsid w:val="57406443"/>
    <w:rsid w:val="574A6474"/>
    <w:rsid w:val="59836622"/>
    <w:rsid w:val="59F12F67"/>
    <w:rsid w:val="5A270CE9"/>
    <w:rsid w:val="5A4B3BBE"/>
    <w:rsid w:val="5A4E56BE"/>
    <w:rsid w:val="5B242227"/>
    <w:rsid w:val="5B3D6F48"/>
    <w:rsid w:val="5BFF5BFD"/>
    <w:rsid w:val="5C0F3C1E"/>
    <w:rsid w:val="5C484080"/>
    <w:rsid w:val="5C4A2B10"/>
    <w:rsid w:val="5C787AB7"/>
    <w:rsid w:val="5C986F4F"/>
    <w:rsid w:val="5CD14EB6"/>
    <w:rsid w:val="5CEE6323"/>
    <w:rsid w:val="5D2C21EB"/>
    <w:rsid w:val="5D962BC2"/>
    <w:rsid w:val="5DBD295C"/>
    <w:rsid w:val="5EE70DDC"/>
    <w:rsid w:val="5EED64FF"/>
    <w:rsid w:val="5F470602"/>
    <w:rsid w:val="600512E0"/>
    <w:rsid w:val="603D6F06"/>
    <w:rsid w:val="60487443"/>
    <w:rsid w:val="606F5D7F"/>
    <w:rsid w:val="60A83CB0"/>
    <w:rsid w:val="62830E1C"/>
    <w:rsid w:val="628C136C"/>
    <w:rsid w:val="62F87FB3"/>
    <w:rsid w:val="63645675"/>
    <w:rsid w:val="639622F3"/>
    <w:rsid w:val="63CC6F57"/>
    <w:rsid w:val="63EE1EF6"/>
    <w:rsid w:val="644E60C4"/>
    <w:rsid w:val="646119F8"/>
    <w:rsid w:val="64C10E6B"/>
    <w:rsid w:val="65AA775A"/>
    <w:rsid w:val="65B40224"/>
    <w:rsid w:val="66783573"/>
    <w:rsid w:val="66AD47C6"/>
    <w:rsid w:val="67095869"/>
    <w:rsid w:val="67182A7C"/>
    <w:rsid w:val="681702A5"/>
    <w:rsid w:val="686B35F4"/>
    <w:rsid w:val="68C56A0D"/>
    <w:rsid w:val="69A95CEC"/>
    <w:rsid w:val="6AD06E51"/>
    <w:rsid w:val="6B087B99"/>
    <w:rsid w:val="6B256796"/>
    <w:rsid w:val="6BD76074"/>
    <w:rsid w:val="6C0354F4"/>
    <w:rsid w:val="6C3527FE"/>
    <w:rsid w:val="6C6E3CD3"/>
    <w:rsid w:val="6CCA42DA"/>
    <w:rsid w:val="6CFB5C25"/>
    <w:rsid w:val="6D2232F1"/>
    <w:rsid w:val="6D3E5E6F"/>
    <w:rsid w:val="6E376F24"/>
    <w:rsid w:val="6E734D3B"/>
    <w:rsid w:val="6EE90259"/>
    <w:rsid w:val="6F0D0BD8"/>
    <w:rsid w:val="6F267ADB"/>
    <w:rsid w:val="70001E21"/>
    <w:rsid w:val="7001311E"/>
    <w:rsid w:val="707A2EE8"/>
    <w:rsid w:val="708F1F74"/>
    <w:rsid w:val="70B11649"/>
    <w:rsid w:val="70BF3192"/>
    <w:rsid w:val="728575C3"/>
    <w:rsid w:val="72940580"/>
    <w:rsid w:val="732D5B7D"/>
    <w:rsid w:val="73517D22"/>
    <w:rsid w:val="73B83CAB"/>
    <w:rsid w:val="74685918"/>
    <w:rsid w:val="74811B16"/>
    <w:rsid w:val="74D274A3"/>
    <w:rsid w:val="78880DFC"/>
    <w:rsid w:val="78A624FB"/>
    <w:rsid w:val="79226841"/>
    <w:rsid w:val="799D25F2"/>
    <w:rsid w:val="79D51A0A"/>
    <w:rsid w:val="7A603C70"/>
    <w:rsid w:val="7A7663BB"/>
    <w:rsid w:val="7B734DAA"/>
    <w:rsid w:val="7B811016"/>
    <w:rsid w:val="7B9816EC"/>
    <w:rsid w:val="7BB06386"/>
    <w:rsid w:val="7BB63A0E"/>
    <w:rsid w:val="7C1A0C3F"/>
    <w:rsid w:val="7C21687C"/>
    <w:rsid w:val="7C99793C"/>
    <w:rsid w:val="7CA12173"/>
    <w:rsid w:val="7D6403BE"/>
    <w:rsid w:val="7D7E5E0A"/>
    <w:rsid w:val="7DA16716"/>
    <w:rsid w:val="7E301A02"/>
    <w:rsid w:val="7E3075F0"/>
    <w:rsid w:val="7F706F1E"/>
    <w:rsid w:val="7FEC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1"/>
    <w:qFormat/>
    <w:uiPriority w:val="99"/>
    <w:pPr>
      <w:keepNext/>
      <w:keepLines/>
      <w:widowControl/>
      <w:adjustRightInd w:val="0"/>
      <w:snapToGrid w:val="0"/>
      <w:spacing w:before="240" w:after="100" w:afterAutospacing="1"/>
      <w:jc w:val="left"/>
      <w:outlineLvl w:val="0"/>
    </w:pPr>
    <w:rPr>
      <w:rFonts w:ascii="Tahoma" w:hAnsi="Tahoma" w:eastAsia="黑体"/>
      <w:b/>
      <w:bCs/>
      <w:kern w:val="44"/>
      <w:sz w:val="30"/>
      <w:szCs w:val="3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link w:val="18"/>
    <w:semiHidden/>
    <w:qFormat/>
    <w:uiPriority w:val="0"/>
    <w:rPr>
      <w:rFonts w:ascii="Verdana" w:hAnsi="Verdana" w:eastAsia="仿宋_GB2312" w:cs="Verdana"/>
      <w:kern w:val="0"/>
      <w:sz w:val="24"/>
      <w:lang w:eastAsia="en-US"/>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_x000B__x000C_" w:hAnsi="_x000B__x000C_" w:eastAsia="仿宋_GB2312"/>
      <w:sz w:val="32"/>
      <w:szCs w:val="20"/>
    </w:rPr>
  </w:style>
  <w:style w:type="paragraph" w:styleId="5">
    <w:name w:val="Body Text Indent"/>
    <w:basedOn w:val="1"/>
    <w:qFormat/>
    <w:uiPriority w:val="0"/>
    <w:pPr>
      <w:spacing w:after="120"/>
      <w:ind w:left="420" w:leftChars="200"/>
    </w:pPr>
  </w:style>
  <w:style w:type="paragraph" w:styleId="6">
    <w:name w:val="toc 5"/>
    <w:basedOn w:val="1"/>
    <w:next w:val="1"/>
    <w:qFormat/>
    <w:uiPriority w:val="0"/>
    <w:pPr>
      <w:ind w:left="1680" w:leftChars="800"/>
    </w:pPr>
    <w:rPr>
      <w:rFonts w:ascii="Times New Roman" w:hAnsi="Times New Roman"/>
      <w:szCs w:val="21"/>
    </w:rPr>
  </w:style>
  <w:style w:type="paragraph" w:styleId="7">
    <w:name w:val="Plain Text"/>
    <w:basedOn w:val="1"/>
    <w:unhideWhenUsed/>
    <w:qFormat/>
    <w:uiPriority w:val="99"/>
    <w:rPr>
      <w:rFonts w:ascii="宋体" w:hAnsi="Courier New" w:eastAsia="宋体" w:cs="Courier New"/>
      <w:sz w:val="21"/>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jc w:val="center"/>
    </w:pPr>
    <w:rPr>
      <w:szCs w:val="24"/>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2">
    <w:name w:val="Title"/>
    <w:basedOn w:val="1"/>
    <w:next w:val="1"/>
    <w:qFormat/>
    <w:uiPriority w:val="99"/>
    <w:pPr>
      <w:spacing w:before="240" w:after="60"/>
      <w:jc w:val="left"/>
      <w:outlineLvl w:val="0"/>
    </w:pPr>
    <w:rPr>
      <w:rFonts w:ascii="Calibri Light" w:hAnsi="Calibri Light" w:eastAsia="黑体"/>
      <w:b/>
      <w:bCs/>
      <w:sz w:val="32"/>
      <w:szCs w:val="32"/>
    </w:rPr>
  </w:style>
  <w:style w:type="paragraph" w:styleId="13">
    <w:name w:val="Body Text First Indent"/>
    <w:basedOn w:val="2"/>
    <w:qFormat/>
    <w:uiPriority w:val="0"/>
    <w:pPr>
      <w:ind w:firstLine="420" w:firstLineChars="100"/>
    </w:pPr>
    <w:rPr>
      <w:rFonts w:ascii="Times New Roman" w:hAnsi="Times New Roman" w:eastAsia="宋体" w:cs="Times New Roman"/>
    </w:rPr>
  </w:style>
  <w:style w:type="paragraph" w:styleId="14">
    <w:name w:val="Body Text First Indent 2"/>
    <w:basedOn w:val="5"/>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w:basedOn w:val="1"/>
    <w:link w:val="17"/>
    <w:qFormat/>
    <w:uiPriority w:val="0"/>
    <w:pPr>
      <w:widowControl/>
      <w:spacing w:after="160" w:line="240" w:lineRule="exact"/>
      <w:jc w:val="left"/>
    </w:pPr>
    <w:rPr>
      <w:rFonts w:ascii="Verdana" w:hAnsi="Verdana" w:eastAsia="仿宋_GB2312" w:cs="Verdana"/>
      <w:kern w:val="0"/>
      <w:sz w:val="24"/>
      <w:lang w:eastAsia="en-US"/>
    </w:rPr>
  </w:style>
  <w:style w:type="character" w:styleId="19">
    <w:name w:val="Strong"/>
    <w:basedOn w:val="17"/>
    <w:qFormat/>
    <w:uiPriority w:val="99"/>
    <w:rPr>
      <w:b/>
      <w:bCs/>
    </w:rPr>
  </w:style>
  <w:style w:type="character" w:styleId="20">
    <w:name w:val="page number"/>
    <w:basedOn w:val="17"/>
    <w:qFormat/>
    <w:uiPriority w:val="0"/>
  </w:style>
  <w:style w:type="character" w:styleId="21">
    <w:name w:val="Emphasis"/>
    <w:basedOn w:val="17"/>
    <w:qFormat/>
    <w:uiPriority w:val="0"/>
    <w:rPr>
      <w:i/>
    </w:rPr>
  </w:style>
  <w:style w:type="character" w:customStyle="1" w:styleId="22">
    <w:name w:val="font11"/>
    <w:basedOn w:val="17"/>
    <w:qFormat/>
    <w:uiPriority w:val="0"/>
    <w:rPr>
      <w:rFonts w:hint="eastAsia" w:ascii="黑体" w:hAnsi="宋体" w:eastAsia="黑体" w:cs="黑体"/>
      <w:color w:val="000000"/>
      <w:sz w:val="32"/>
      <w:szCs w:val="32"/>
      <w:u w:val="none"/>
    </w:rPr>
  </w:style>
  <w:style w:type="character" w:customStyle="1" w:styleId="23">
    <w:name w:val="font71"/>
    <w:basedOn w:val="17"/>
    <w:qFormat/>
    <w:uiPriority w:val="0"/>
    <w:rPr>
      <w:rFonts w:hint="eastAsia" w:ascii="宋体" w:hAnsi="宋体" w:eastAsia="宋体" w:cs="宋体"/>
      <w:color w:val="000000"/>
      <w:sz w:val="20"/>
      <w:szCs w:val="20"/>
      <w:u w:val="none"/>
      <w:vertAlign w:val="superscript"/>
    </w:rPr>
  </w:style>
  <w:style w:type="character" w:customStyle="1" w:styleId="24">
    <w:name w:val="font61"/>
    <w:basedOn w:val="17"/>
    <w:qFormat/>
    <w:uiPriority w:val="0"/>
    <w:rPr>
      <w:rFonts w:hint="eastAsia" w:ascii="宋体" w:hAnsi="宋体" w:eastAsia="宋体" w:cs="宋体"/>
      <w:color w:val="000000"/>
      <w:sz w:val="20"/>
      <w:szCs w:val="20"/>
      <w:u w:val="none"/>
    </w:rPr>
  </w:style>
  <w:style w:type="character" w:customStyle="1" w:styleId="25">
    <w:name w:val="font51"/>
    <w:basedOn w:val="17"/>
    <w:qFormat/>
    <w:uiPriority w:val="0"/>
    <w:rPr>
      <w:rFonts w:hint="eastAsia" w:ascii="黑体" w:hAnsi="宋体" w:eastAsia="黑体" w:cs="黑体"/>
      <w:color w:val="000000"/>
      <w:sz w:val="32"/>
      <w:szCs w:val="32"/>
      <w:u w:val="none"/>
    </w:rPr>
  </w:style>
  <w:style w:type="character" w:customStyle="1" w:styleId="26">
    <w:name w:val="font21"/>
    <w:basedOn w:val="17"/>
    <w:qFormat/>
    <w:uiPriority w:val="0"/>
    <w:rPr>
      <w:rFonts w:hint="eastAsia" w:ascii="宋体" w:hAnsi="宋体" w:eastAsia="宋体" w:cs="宋体"/>
      <w:b/>
      <w:color w:val="000000"/>
      <w:sz w:val="18"/>
      <w:szCs w:val="18"/>
      <w:u w:val="none"/>
    </w:rPr>
  </w:style>
  <w:style w:type="paragraph" w:styleId="27">
    <w:name w:val="List Paragraph"/>
    <w:basedOn w:val="1"/>
    <w:qFormat/>
    <w:uiPriority w:val="34"/>
    <w:pPr>
      <w:ind w:firstLine="420" w:firstLineChars="200"/>
    </w:pPr>
  </w:style>
  <w:style w:type="paragraph" w:customStyle="1" w:styleId="28">
    <w:name w:val="正文首行缩进 21"/>
    <w:basedOn w:val="1"/>
    <w:qFormat/>
    <w:uiPriority w:val="99"/>
    <w:pPr>
      <w:ind w:left="420" w:leftChars="200" w:firstLine="210"/>
    </w:pPr>
    <w:rPr>
      <w:rFonts w:cs="Calibri"/>
      <w:szCs w:val="21"/>
    </w:rPr>
  </w:style>
  <w:style w:type="character" w:customStyle="1" w:styleId="29">
    <w:name w:val="font81"/>
    <w:basedOn w:val="17"/>
    <w:qFormat/>
    <w:uiPriority w:val="0"/>
    <w:rPr>
      <w:rFonts w:hint="eastAsia" w:ascii="仿宋_GB2312" w:eastAsia="仿宋_GB2312" w:cs="仿宋_GB2312"/>
      <w:color w:val="000000"/>
      <w:sz w:val="24"/>
      <w:szCs w:val="24"/>
      <w:u w:val="none"/>
    </w:rPr>
  </w:style>
  <w:style w:type="character" w:customStyle="1" w:styleId="30">
    <w:name w:val="font31"/>
    <w:basedOn w:val="17"/>
    <w:qFormat/>
    <w:uiPriority w:val="0"/>
    <w:rPr>
      <w:rFonts w:ascii="楷体_GB2312" w:eastAsia="楷体_GB2312" w:cs="楷体_GB2312"/>
      <w:b/>
      <w:color w:val="000000"/>
      <w:sz w:val="24"/>
      <w:szCs w:val="24"/>
      <w:u w:val="none"/>
    </w:rPr>
  </w:style>
  <w:style w:type="character" w:customStyle="1" w:styleId="31">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32">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33">
    <w:name w:val="Body text|1"/>
    <w:basedOn w:val="1"/>
    <w:link w:val="34"/>
    <w:qFormat/>
    <w:uiPriority w:val="0"/>
    <w:pPr>
      <w:widowControl w:val="0"/>
      <w:shd w:val="clear" w:color="auto" w:fill="auto"/>
      <w:spacing w:after="240" w:line="427" w:lineRule="auto"/>
      <w:ind w:firstLine="400"/>
    </w:pPr>
    <w:rPr>
      <w:rFonts w:ascii="宋体" w:hAnsi="宋体" w:eastAsia="宋体" w:cs="宋体"/>
      <w:color w:val="202231"/>
      <w:sz w:val="28"/>
      <w:szCs w:val="28"/>
      <w:u w:val="none"/>
      <w:shd w:val="clear" w:color="auto" w:fill="auto"/>
      <w:lang w:val="zh-TW" w:eastAsia="zh-TW" w:bidi="zh-TW"/>
    </w:rPr>
  </w:style>
  <w:style w:type="character" w:customStyle="1" w:styleId="34">
    <w:name w:val="Body text|1_"/>
    <w:basedOn w:val="17"/>
    <w:link w:val="33"/>
    <w:qFormat/>
    <w:uiPriority w:val="0"/>
    <w:rPr>
      <w:rFonts w:ascii="宋体" w:hAnsi="宋体" w:eastAsia="宋体" w:cs="宋体"/>
      <w:color w:val="202231"/>
      <w:sz w:val="28"/>
      <w:szCs w:val="28"/>
      <w:u w:val="none"/>
      <w:shd w:val="clear" w:color="auto" w:fill="auto"/>
      <w:lang w:val="zh-TW" w:eastAsia="zh-TW" w:bidi="zh-TW"/>
    </w:rPr>
  </w:style>
  <w:style w:type="paragraph" w:customStyle="1" w:styleId="35">
    <w:name w:val="Header or footer|1"/>
    <w:basedOn w:val="1"/>
    <w:qFormat/>
    <w:uiPriority w:val="0"/>
    <w:pPr>
      <w:widowControl w:val="0"/>
      <w:shd w:val="clear" w:color="auto" w:fill="auto"/>
    </w:pPr>
    <w:rPr>
      <w:color w:val="202231"/>
      <w:sz w:val="28"/>
      <w:szCs w:val="28"/>
      <w:u w:val="none"/>
      <w:shd w:val="clear" w:color="auto" w:fill="auto"/>
      <w:lang w:val="zh-TW" w:eastAsia="zh-TW" w:bidi="zh-TW"/>
    </w:rPr>
  </w:style>
  <w:style w:type="paragraph" w:styleId="36">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37">
    <w:name w:val="Body text|2"/>
    <w:basedOn w:val="1"/>
    <w:qFormat/>
    <w:uiPriority w:val="0"/>
    <w:pPr>
      <w:spacing w:line="602" w:lineRule="exact"/>
      <w:ind w:firstLine="640"/>
    </w:pPr>
    <w:rPr>
      <w:rFonts w:ascii="宋体" w:hAnsi="宋体" w:cs="宋体"/>
      <w:sz w:val="30"/>
      <w:szCs w:val="30"/>
    </w:rPr>
  </w:style>
  <w:style w:type="paragraph" w:customStyle="1" w:styleId="38">
    <w:name w:val="Table caption|1"/>
    <w:basedOn w:val="1"/>
    <w:qFormat/>
    <w:uiPriority w:val="0"/>
    <w:rPr>
      <w:rFonts w:ascii="宋体" w:hAnsi="宋体" w:cs="宋体"/>
      <w:sz w:val="20"/>
      <w:szCs w:val="20"/>
    </w:rPr>
  </w:style>
  <w:style w:type="paragraph" w:customStyle="1" w:styleId="39">
    <w:name w:val="Other|1"/>
    <w:basedOn w:val="1"/>
    <w:qFormat/>
    <w:uiPriority w:val="0"/>
    <w:pPr>
      <w:spacing w:line="480" w:lineRule="auto"/>
      <w:ind w:firstLine="400"/>
    </w:pPr>
    <w:rPr>
      <w:rFonts w:ascii="宋体" w:hAnsi="宋体" w:cs="宋体"/>
      <w:sz w:val="26"/>
      <w:szCs w:val="26"/>
    </w:rPr>
  </w:style>
  <w:style w:type="character" w:customStyle="1" w:styleId="40">
    <w:name w:val="font01"/>
    <w:basedOn w:val="17"/>
    <w:qFormat/>
    <w:uiPriority w:val="0"/>
    <w:rPr>
      <w:rFonts w:hint="eastAsia" w:ascii="宋体" w:hAnsi="宋体" w:eastAsia="宋体" w:cs="宋体"/>
      <w:color w:val="FF0000"/>
      <w:sz w:val="24"/>
      <w:szCs w:val="24"/>
      <w:u w:val="none"/>
    </w:rPr>
  </w:style>
  <w:style w:type="character" w:customStyle="1" w:styleId="41">
    <w:name w:val="标题 1 Char"/>
    <w:link w:val="3"/>
    <w:qFormat/>
    <w:uiPriority w:val="0"/>
    <w:rPr>
      <w:rFonts w:ascii="Tahoma" w:hAnsi="Tahoma" w:eastAsia="黑体"/>
      <w:b/>
      <w:bCs/>
      <w:kern w:val="44"/>
      <w:sz w:val="30"/>
      <w:szCs w:val="30"/>
    </w:rPr>
  </w:style>
  <w:style w:type="paragraph" w:customStyle="1" w:styleId="42">
    <w:name w:val="Heading #3|1"/>
    <w:basedOn w:val="1"/>
    <w:qFormat/>
    <w:uiPriority w:val="0"/>
    <w:pPr>
      <w:widowControl w:val="0"/>
      <w:shd w:val="clear" w:color="auto" w:fill="auto"/>
      <w:spacing w:after="230" w:line="715" w:lineRule="exact"/>
      <w:jc w:val="center"/>
      <w:outlineLvl w:val="2"/>
    </w:pPr>
    <w:rPr>
      <w:rFonts w:ascii="宋体" w:hAnsi="宋体" w:eastAsia="宋体" w:cs="宋体"/>
      <w:sz w:val="36"/>
      <w:szCs w:val="36"/>
      <w:u w:val="none"/>
      <w:shd w:val="clear" w:color="auto" w:fill="auto"/>
      <w:lang w:val="zh-TW" w:eastAsia="zh-TW" w:bidi="zh-TW"/>
    </w:rPr>
  </w:style>
  <w:style w:type="paragraph" w:customStyle="1" w:styleId="43">
    <w:name w:val="Table Paragraph"/>
    <w:basedOn w:val="1"/>
    <w:qFormat/>
    <w:uiPriority w:val="1"/>
    <w:pPr>
      <w:jc w:val="center"/>
    </w:pPr>
    <w:rPr>
      <w:rFonts w:ascii="Times New Roman" w:hAnsi="Times New Roman" w:eastAsia="Times New Roman" w:cs="Times New Roman"/>
      <w:lang w:val="zh-CN" w:eastAsia="zh-CN" w:bidi="zh-CN"/>
    </w:rPr>
  </w:style>
  <w:style w:type="character" w:customStyle="1" w:styleId="44">
    <w:name w:val="font101"/>
    <w:basedOn w:val="17"/>
    <w:qFormat/>
    <w:uiPriority w:val="0"/>
    <w:rPr>
      <w:rFonts w:hint="eastAsia" w:ascii="宋体" w:hAnsi="宋体" w:eastAsia="宋体" w:cs="宋体"/>
      <w:b/>
      <w:bCs/>
      <w:color w:val="000000"/>
      <w:sz w:val="40"/>
      <w:szCs w:val="40"/>
      <w:u w:val="none"/>
    </w:rPr>
  </w:style>
  <w:style w:type="character" w:customStyle="1" w:styleId="45">
    <w:name w:val="font41"/>
    <w:basedOn w:val="17"/>
    <w:qFormat/>
    <w:uiPriority w:val="0"/>
    <w:rPr>
      <w:rFonts w:hint="eastAsia" w:ascii="宋体" w:hAnsi="宋体" w:eastAsia="宋体" w:cs="宋体"/>
      <w:color w:val="000000"/>
      <w:sz w:val="20"/>
      <w:szCs w:val="20"/>
      <w:u w:val="none"/>
    </w:rPr>
  </w:style>
  <w:style w:type="character" w:customStyle="1" w:styleId="46">
    <w:name w:val="font91"/>
    <w:basedOn w:val="17"/>
    <w:qFormat/>
    <w:uiPriority w:val="0"/>
    <w:rPr>
      <w:rFonts w:hint="eastAsia" w:ascii="宋体" w:hAnsi="宋体" w:eastAsia="宋体" w:cs="宋体"/>
      <w:b/>
      <w:bCs/>
      <w:color w:val="000000"/>
      <w:sz w:val="40"/>
      <w:szCs w:val="40"/>
      <w:u w:val="none"/>
    </w:rPr>
  </w:style>
  <w:style w:type="paragraph" w:customStyle="1" w:styleId="47">
    <w:name w:val="Body text|3"/>
    <w:basedOn w:val="1"/>
    <w:qFormat/>
    <w:uiPriority w:val="0"/>
    <w:pPr>
      <w:widowControl w:val="0"/>
      <w:shd w:val="clear" w:color="auto" w:fill="auto"/>
      <w:spacing w:after="460" w:line="506" w:lineRule="exact"/>
      <w:ind w:firstLine="640"/>
    </w:pPr>
    <w:rPr>
      <w:sz w:val="32"/>
      <w:szCs w:val="32"/>
      <w:u w:val="none"/>
      <w:shd w:val="clear" w:color="auto" w:fill="auto"/>
      <w:lang w:val="zh-TW" w:eastAsia="zh-TW" w:bidi="zh-TW"/>
    </w:rPr>
  </w:style>
  <w:style w:type="paragraph" w:customStyle="1" w:styleId="48">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3322</Words>
  <Characters>3430</Characters>
  <Lines>0</Lines>
  <Paragraphs>0</Paragraphs>
  <TotalTime>18</TotalTime>
  <ScaleCrop>false</ScaleCrop>
  <LinksUpToDate>false</LinksUpToDate>
  <CharactersWithSpaces>3454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高标准农田建设项目部</dc:creator>
  <cp:lastModifiedBy>LLL</cp:lastModifiedBy>
  <cp:lastPrinted>2023-06-01T08:42:00Z</cp:lastPrinted>
  <dcterms:modified xsi:type="dcterms:W3CDTF">2025-07-21T08:10:57Z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372701918_btnclosed</vt:lpwstr>
  </property>
  <property fmtid="{D5CDD505-2E9C-101B-9397-08002B2CF9AE}" pid="4" name="ICV">
    <vt:lpwstr>F5943B16B1F74FE4BD97258B1A441163_13</vt:lpwstr>
  </property>
  <property fmtid="{D5CDD505-2E9C-101B-9397-08002B2CF9AE}" pid="5" name="KSOTemplateDocerSaveRecord">
    <vt:lpwstr>eyJoZGlkIjoiYzhhYjYxNzcxMzk4OTQxYzg3ODE2MWYwMDhhMGM5Y2EiLCJ1c2VySWQiOiIyNTQwODAzMDAifQ==</vt:lpwstr>
  </property>
</Properties>
</file>