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25942">
      <w:pPr>
        <w:spacing w:line="580" w:lineRule="exact"/>
        <w:jc w:val="center"/>
        <w:rPr>
          <w:rFonts w:hint="eastAsia" w:eastAsia="仿宋_GB2312"/>
          <w:color w:val="000000" w:themeColor="text1"/>
          <w:sz w:val="32"/>
          <w:szCs w:val="32"/>
          <w14:textFill>
            <w14:solidFill>
              <w14:schemeClr w14:val="tx1"/>
            </w14:solidFill>
          </w14:textFill>
        </w:rPr>
      </w:pPr>
    </w:p>
    <w:p w14:paraId="24C146AA">
      <w:pPr>
        <w:spacing w:line="580" w:lineRule="exact"/>
        <w:jc w:val="center"/>
        <w:rPr>
          <w:rFonts w:eastAsia="仿宋_GB2312"/>
          <w:color w:val="000000" w:themeColor="text1"/>
          <w:sz w:val="32"/>
          <w:szCs w:val="32"/>
          <w14:textFill>
            <w14:solidFill>
              <w14:schemeClr w14:val="tx1"/>
            </w14:solidFill>
          </w14:textFill>
        </w:rPr>
      </w:pPr>
    </w:p>
    <w:p w14:paraId="4F29F947">
      <w:pPr>
        <w:spacing w:line="580" w:lineRule="exact"/>
        <w:jc w:val="center"/>
        <w:rPr>
          <w:rFonts w:eastAsia="仿宋_GB2312"/>
          <w:color w:val="000000" w:themeColor="text1"/>
          <w:sz w:val="32"/>
          <w:szCs w:val="32"/>
          <w14:textFill>
            <w14:solidFill>
              <w14:schemeClr w14:val="tx1"/>
            </w14:solidFill>
          </w14:textFill>
        </w:rPr>
      </w:pPr>
    </w:p>
    <w:p w14:paraId="1C56C1D3">
      <w:pPr>
        <w:spacing w:line="580" w:lineRule="exact"/>
        <w:jc w:val="center"/>
        <w:rPr>
          <w:rFonts w:hint="eastAsia" w:eastAsia="仿宋_GB2312"/>
          <w:color w:val="000000" w:themeColor="text1"/>
          <w:sz w:val="32"/>
          <w:szCs w:val="32"/>
          <w14:textFill>
            <w14:solidFill>
              <w14:schemeClr w14:val="tx1"/>
            </w14:solidFill>
          </w14:textFill>
        </w:rPr>
      </w:pPr>
    </w:p>
    <w:p w14:paraId="5F022DBE">
      <w:pPr>
        <w:spacing w:line="580" w:lineRule="exact"/>
        <w:jc w:val="center"/>
        <w:rPr>
          <w:rFonts w:hint="eastAsia" w:eastAsia="仿宋_GB2312"/>
          <w:color w:val="000000" w:themeColor="text1"/>
          <w:sz w:val="32"/>
          <w:szCs w:val="32"/>
          <w14:textFill>
            <w14:solidFill>
              <w14:schemeClr w14:val="tx1"/>
            </w14:solidFill>
          </w14:textFill>
        </w:rPr>
      </w:pPr>
    </w:p>
    <w:p w14:paraId="1BF2F277">
      <w:pPr>
        <w:keepNext w:val="0"/>
        <w:keepLines w:val="0"/>
        <w:pageBreakBefore w:val="0"/>
        <w:widowControl w:val="0"/>
        <w:tabs>
          <w:tab w:val="left" w:pos="3451"/>
        </w:tabs>
        <w:kinsoku/>
        <w:wordWrap/>
        <w:overflowPunct/>
        <w:topLinePunct w:val="0"/>
        <w:autoSpaceDE/>
        <w:autoSpaceDN/>
        <w:bidi w:val="0"/>
        <w:adjustRightInd/>
        <w:snapToGrid/>
        <w:spacing w:line="800" w:lineRule="exact"/>
        <w:textAlignment w:val="auto"/>
        <w:rPr>
          <w:rFonts w:hint="eastAsia" w:eastAsia="仿宋_GB2312"/>
          <w:color w:val="000000" w:themeColor="text1"/>
          <w:sz w:val="32"/>
          <w:szCs w:val="32"/>
          <w:lang w:val="en-US" w:eastAsia="zh-CN"/>
          <w14:textFill>
            <w14:solidFill>
              <w14:schemeClr w14:val="tx1"/>
            </w14:solidFill>
          </w14:textFill>
        </w:rPr>
      </w:pPr>
      <w:r>
        <w:rPr>
          <w:rFonts w:eastAsia="仿宋_GB2312"/>
          <w:color w:val="000000" w:themeColor="text1"/>
          <w:sz w:val="32"/>
          <w:szCs w:val="32"/>
          <w14:textFill>
            <w14:solidFill>
              <w14:schemeClr w14:val="tx1"/>
            </w14:solidFill>
          </w14:textFill>
        </w:rPr>
        <w:tab/>
      </w:r>
    </w:p>
    <w:p w14:paraId="2EE27E09">
      <w:pPr>
        <w:spacing w:line="560" w:lineRule="exact"/>
        <w:jc w:val="center"/>
        <w:rPr>
          <w:rFonts w:hint="eastAsia" w:ascii="方正仿宋_GBK" w:hAnsi="方正仿宋_GBK" w:eastAsia="方正仿宋_GBK" w:cs="方正仿宋_GBK"/>
          <w:color w:val="000000" w:themeColor="text1"/>
          <w:sz w:val="32"/>
          <w:szCs w:val="32"/>
          <w14:textFill>
            <w14:solidFill>
              <w14:schemeClr w14:val="tx1"/>
            </w14:solidFill>
          </w14:textFill>
        </w:rPr>
      </w:pPr>
      <w:bookmarkStart w:id="0" w:name="_GoBack"/>
      <w:r>
        <w:rPr>
          <w:rFonts w:hint="eastAsia" w:ascii="方正仿宋_GBK" w:hAnsi="方正仿宋_GBK" w:eastAsia="方正仿宋_GBK" w:cs="方正仿宋_GBK"/>
          <w:color w:val="000000" w:themeColor="text1"/>
          <w:sz w:val="32"/>
          <w:szCs w:val="32"/>
          <w14:textFill>
            <w14:solidFill>
              <w14:schemeClr w14:val="tx1"/>
            </w14:solidFill>
          </w14:textFill>
        </w:rPr>
        <w:t>浮府字〔20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24</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82</w:t>
      </w:r>
      <w:r>
        <w:rPr>
          <w:rFonts w:hint="eastAsia" w:ascii="方正仿宋_GBK" w:hAnsi="方正仿宋_GBK" w:eastAsia="方正仿宋_GBK" w:cs="方正仿宋_GBK"/>
          <w:color w:val="000000" w:themeColor="text1"/>
          <w:sz w:val="32"/>
          <w:szCs w:val="32"/>
          <w14:textFill>
            <w14:solidFill>
              <w14:schemeClr w14:val="tx1"/>
            </w14:solidFill>
          </w14:textFill>
        </w:rPr>
        <w:t>号</w:t>
      </w:r>
    </w:p>
    <w:bookmarkEnd w:id="0"/>
    <w:p w14:paraId="2FEB411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大标宋_GBK" w:hAnsi="宋体" w:eastAsia="方正大标宋_GBK" w:cs="宋体"/>
          <w:bCs/>
          <w:color w:val="000000" w:themeColor="text1"/>
          <w:sz w:val="44"/>
          <w:szCs w:val="44"/>
          <w14:textFill>
            <w14:solidFill>
              <w14:schemeClr w14:val="tx1"/>
            </w14:solidFill>
          </w14:textFill>
        </w:rPr>
      </w:pPr>
    </w:p>
    <w:p w14:paraId="265E7A6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大标宋_GBK" w:hAnsi="宋体" w:eastAsia="方正大标宋_GBK" w:cs="宋体"/>
          <w:bCs/>
          <w:color w:val="000000" w:themeColor="text1"/>
          <w:sz w:val="44"/>
          <w:szCs w:val="44"/>
          <w14:textFill>
            <w14:solidFill>
              <w14:schemeClr w14:val="tx1"/>
            </w14:solidFill>
          </w14:textFill>
        </w:rPr>
      </w:pPr>
    </w:p>
    <w:p w14:paraId="422955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0"/>
          <w:sz w:val="44"/>
          <w:szCs w:val="44"/>
          <w14:textFill>
            <w14:solidFill>
              <w14:schemeClr w14:val="tx1"/>
            </w14:solidFill>
          </w14:textFill>
        </w:rPr>
        <w:t>浮梁县人民政府</w:t>
      </w:r>
    </w:p>
    <w:p w14:paraId="6A619C35">
      <w:pPr>
        <w:keepNext w:val="0"/>
        <w:keepLines w:val="0"/>
        <w:pageBreakBefore w:val="0"/>
        <w:widowControl w:val="0"/>
        <w:kinsoku/>
        <w:wordWrap w:val="0"/>
        <w:overflowPunct/>
        <w:topLinePunct w:val="0"/>
        <w:autoSpaceDE/>
        <w:autoSpaceDN/>
        <w:bidi w:val="0"/>
        <w:adjustRightInd/>
        <w:snapToGrid/>
        <w:spacing w:line="600" w:lineRule="exact"/>
        <w:ind w:right="0"/>
        <w:jc w:val="center"/>
        <w:textAlignment w:val="auto"/>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关于印发《浮梁县收购已建成存量商品房用作保障性住房工作方案》的通知</w:t>
      </w:r>
    </w:p>
    <w:p w14:paraId="1958D7C8">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p>
    <w:p w14:paraId="4F1A2655">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各乡（镇）人民政府，县直有关单位：</w:t>
      </w:r>
    </w:p>
    <w:p w14:paraId="762CB5FD">
      <w:pPr>
        <w:keepNext w:val="0"/>
        <w:keepLines w:val="0"/>
        <w:pageBreakBefore w:val="0"/>
        <w:widowControl w:val="0"/>
        <w:kinsoku/>
        <w:wordWrap w:val="0"/>
        <w:overflowPunct/>
        <w:topLinePunct w:val="0"/>
        <w:autoSpaceDE/>
        <w:autoSpaceDN/>
        <w:bidi w:val="0"/>
        <w:adjustRightInd/>
        <w:snapToGrid/>
        <w:spacing w:line="560" w:lineRule="exact"/>
        <w:ind w:right="0" w:firstLine="640" w:firstLineChars="200"/>
        <w:jc w:val="both"/>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现将《浮梁县收购已建成存量商品房用作保障性住房工作方案》印发给你们，请你们认真贯彻落实。</w:t>
      </w:r>
    </w:p>
    <w:p w14:paraId="509CB9B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000000" w:themeColor="text1"/>
          <w:sz w:val="30"/>
          <w:szCs w:val="30"/>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14:paraId="731951E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textAlignment w:val="auto"/>
        <w:outlineLvl w:val="9"/>
        <w:rPr>
          <w:rFonts w:hint="eastAsia" w:ascii="方正仿宋_GBK" w:hAnsi="方正仿宋_GBK" w:eastAsia="方正仿宋_GBK" w:cs="方正仿宋_GBK"/>
          <w:color w:val="000000" w:themeColor="text1"/>
          <w:sz w:val="30"/>
          <w:szCs w:val="30"/>
          <w14:textFill>
            <w14:solidFill>
              <w14:schemeClr w14:val="tx1"/>
            </w14:solidFill>
          </w14:textFill>
        </w:rPr>
      </w:pPr>
    </w:p>
    <w:p w14:paraId="1AD8B98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t xml:space="preserve">     </w:t>
      </w:r>
    </w:p>
    <w:p w14:paraId="234FB9C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20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24</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27</w:t>
      </w:r>
      <w:r>
        <w:rPr>
          <w:rFonts w:hint="eastAsia" w:ascii="方正仿宋_GBK" w:hAnsi="方正仿宋_GBK" w:eastAsia="方正仿宋_GBK" w:cs="方正仿宋_GBK"/>
          <w:color w:val="000000" w:themeColor="text1"/>
          <w:sz w:val="32"/>
          <w:szCs w:val="32"/>
          <w14:textFill>
            <w14:solidFill>
              <w14:schemeClr w14:val="tx1"/>
            </w14:solidFill>
          </w14:textFill>
        </w:rPr>
        <w:t>日</w:t>
      </w:r>
    </w:p>
    <w:p w14:paraId="40B56B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（此件</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主动</w:t>
      </w: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公开）</w:t>
      </w:r>
    </w:p>
    <w:p w14:paraId="5AC12A37">
      <w:pPr>
        <w:keepNext w:val="0"/>
        <w:keepLines w:val="0"/>
        <w:pageBreakBefore w:val="0"/>
        <w:widowControl w:val="0"/>
        <w:kinsoku/>
        <w:wordWrap w:val="0"/>
        <w:overflowPunct/>
        <w:topLinePunct w:val="0"/>
        <w:autoSpaceDE/>
        <w:autoSpaceDN/>
        <w:bidi w:val="0"/>
        <w:adjustRightInd/>
        <w:snapToGrid/>
        <w:spacing w:line="600" w:lineRule="exact"/>
        <w:ind w:right="0"/>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浮梁县</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收购已建成存量商品房用作</w:t>
      </w:r>
    </w:p>
    <w:p w14:paraId="5348B2D1">
      <w:pPr>
        <w:keepNext w:val="0"/>
        <w:keepLines w:val="0"/>
        <w:pageBreakBefore w:val="0"/>
        <w:widowControl w:val="0"/>
        <w:kinsoku/>
        <w:wordWrap w:val="0"/>
        <w:overflowPunct/>
        <w:topLinePunct w:val="0"/>
        <w:autoSpaceDE/>
        <w:autoSpaceDN/>
        <w:bidi w:val="0"/>
        <w:adjustRightInd/>
        <w:snapToGrid/>
        <w:spacing w:line="600" w:lineRule="exact"/>
        <w:ind w:right="0"/>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保障性住房工作方案</w:t>
      </w:r>
    </w:p>
    <w:p w14:paraId="0D17B363">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宋体" w:hAnsi="宋体" w:eastAsia="宋体"/>
          <w:color w:val="000000" w:themeColor="text1"/>
          <w:sz w:val="21"/>
          <w14:textFill>
            <w14:solidFill>
              <w14:schemeClr w14:val="tx1"/>
            </w14:solidFill>
          </w14:textFill>
        </w:rPr>
      </w:pPr>
    </w:p>
    <w:p w14:paraId="0C428B35">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推进保障性住房建设，</w:t>
      </w:r>
      <w:r>
        <w:rPr>
          <w:rFonts w:hint="eastAsia" w:ascii="方正仿宋_GBK" w:hAnsi="方正仿宋_GBK" w:eastAsia="方正仿宋_GBK" w:cs="方正仿宋_GBK"/>
          <w:color w:val="000000" w:themeColor="text1"/>
          <w:sz w:val="32"/>
          <w:szCs w:val="32"/>
          <w:u w:val="none"/>
          <w14:textFill>
            <w14:solidFill>
              <w14:schemeClr w14:val="tx1"/>
            </w14:solidFill>
          </w14:textFill>
        </w:rPr>
        <w:t>积极推动已建成存量商品房去库存</w:t>
      </w:r>
      <w:r>
        <w:rPr>
          <w:rFonts w:hint="eastAsia" w:ascii="方正仿宋_GBK" w:hAnsi="方正仿宋_GBK" w:eastAsia="方正仿宋_GBK" w:cs="方正仿宋_GBK"/>
          <w:color w:val="000000" w:themeColor="text1"/>
          <w:sz w:val="32"/>
          <w:szCs w:val="32"/>
          <w14:textFill>
            <w14:solidFill>
              <w14:schemeClr w14:val="tx1"/>
            </w14:solidFill>
          </w14:textFill>
        </w:rPr>
        <w:t>和优化增量住房政策措施，进一步保障和改善民生，根据《国务院关于规划建设保障性住房的指导意见》</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（国发〔2023〕14号）《切实做好保交房工作总体方案》（国</w:t>
      </w:r>
      <w:r>
        <w:rPr>
          <w:rFonts w:hint="eastAsia" w:ascii="方正仿宋_GBK" w:hAnsi="方正仿宋_GBK" w:eastAsia="方正仿宋_GBK" w:cs="方正仿宋_GBK"/>
          <w:color w:val="000000" w:themeColor="text1"/>
          <w:sz w:val="32"/>
          <w:szCs w:val="32"/>
          <w14:textFill>
            <w14:solidFill>
              <w14:schemeClr w14:val="tx1"/>
            </w14:solidFill>
          </w14:textFill>
        </w:rPr>
        <w:t>办发〔2024〕26号）《住房和城乡建设部关于做好收购已建成存量商品房用作保障性住房有关工作的通知》（建保〔2024〕44号）等文件精神，结合我</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14:textFill>
            <w14:solidFill>
              <w14:schemeClr w14:val="tx1"/>
            </w14:solidFill>
          </w14:textFill>
        </w:rPr>
        <w:t>实际，制定本</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工作</w:t>
      </w:r>
      <w:r>
        <w:rPr>
          <w:rFonts w:hint="eastAsia" w:ascii="方正仿宋_GBK" w:hAnsi="方正仿宋_GBK" w:eastAsia="方正仿宋_GBK" w:cs="方正仿宋_GBK"/>
          <w:color w:val="000000" w:themeColor="text1"/>
          <w:sz w:val="32"/>
          <w:szCs w:val="32"/>
          <w14:textFill>
            <w14:solidFill>
              <w14:schemeClr w14:val="tx1"/>
            </w14:solidFill>
          </w14:textFill>
        </w:rPr>
        <w:t>方案。</w:t>
      </w:r>
    </w:p>
    <w:p w14:paraId="320A19A3">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一、总体目标</w:t>
      </w:r>
    </w:p>
    <w:p w14:paraId="37B4A5F4">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以习近平新时代中国特色社会主义思想为指导，深入贯彻落实党的二十大和习近平总书记考察江西重要讲话精神，</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完整、准确、全面贯彻新发展理念、加快构建新发展格局。</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按照“政府主导、市场化运作”的思路，</w:t>
      </w:r>
      <w:r>
        <w:rPr>
          <w:rFonts w:hint="eastAsia" w:ascii="方正仿宋_GBK" w:hAnsi="方正仿宋_GBK" w:eastAsia="方正仿宋_GBK" w:cs="方正仿宋_GBK"/>
          <w:color w:val="000000" w:themeColor="text1"/>
          <w:sz w:val="32"/>
          <w:szCs w:val="32"/>
          <w14:textFill>
            <w14:solidFill>
              <w14:schemeClr w14:val="tx1"/>
            </w14:solidFill>
          </w14:textFill>
        </w:rPr>
        <w:t>着力完善“市场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保障”住房供应体系，结合消化存量房产和优化增量住房政策措施，按照“以需定购、自愿参与、公平公正、精准实施”的原则，用好保障性住房再贷款政策，由政府指定地方国有企业收购已建成商品房用作保障性住房（含配售型和配租型保障性住房），</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满足工薪收入群体首套刚需购房或租赁住房需求，</w:t>
      </w:r>
      <w:r>
        <w:rPr>
          <w:rFonts w:hint="eastAsia" w:ascii="方正仿宋_GBK" w:hAnsi="方正仿宋_GBK" w:eastAsia="方正仿宋_GBK" w:cs="方正仿宋_GBK"/>
          <w:color w:val="000000" w:themeColor="text1"/>
          <w:sz w:val="32"/>
          <w:szCs w:val="32"/>
          <w14:textFill>
            <w14:solidFill>
              <w14:schemeClr w14:val="tx1"/>
            </w14:solidFill>
          </w14:textFill>
        </w:rPr>
        <w:t>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浮梁</w:t>
      </w:r>
      <w:r>
        <w:rPr>
          <w:rFonts w:hint="eastAsia" w:ascii="方正仿宋_GBK" w:hAnsi="方正仿宋_GBK" w:eastAsia="方正仿宋_GBK" w:cs="方正仿宋_GBK"/>
          <w:color w:val="000000" w:themeColor="text1"/>
          <w:sz w:val="32"/>
          <w:szCs w:val="32"/>
          <w14:textFill>
            <w14:solidFill>
              <w14:schemeClr w14:val="tx1"/>
            </w14:solidFill>
          </w14:textFill>
        </w:rPr>
        <w:t>高质量发展提供有力保障。</w:t>
      </w:r>
    </w:p>
    <w:p w14:paraId="32424D62">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二、工作内容</w:t>
      </w:r>
    </w:p>
    <w:p w14:paraId="0E1888CF">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方正楷体_GBK" w:hAnsi="方正楷体_GBK" w:eastAsia="方正楷体_GBK" w:cs="方正楷体_GBK"/>
          <w:b w:val="0"/>
          <w:bCs/>
          <w:color w:val="000000" w:themeColor="text1"/>
          <w:sz w:val="32"/>
          <w:szCs w:val="32"/>
          <w14:textFill>
            <w14:solidFill>
              <w14:schemeClr w14:val="tx1"/>
            </w14:solidFill>
          </w14:textFill>
        </w:rPr>
        <w:sectPr>
          <w:headerReference r:id="rId3" w:type="default"/>
          <w:footerReference r:id="rId4" w:type="default"/>
          <w:pgSz w:w="11900" w:h="16840"/>
          <w:pgMar w:top="2098" w:right="1587" w:bottom="1984" w:left="1587" w:header="850" w:footer="1701" w:gutter="0"/>
          <w:pgNumType w:fmt="decimal"/>
          <w:cols w:space="720" w:num="1"/>
          <w:rtlGutter w:val="0"/>
          <w:docGrid w:linePitch="1" w:charSpace="0"/>
        </w:sect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（一）扩大政策范围</w:t>
      </w:r>
    </w:p>
    <w:p w14:paraId="3D057639">
      <w:pPr>
        <w:keepNext w:val="0"/>
        <w:keepLines w:val="0"/>
        <w:pageBreakBefore w:val="0"/>
        <w:widowControl w:val="0"/>
        <w:kinsoku/>
        <w:wordWrap w:val="0"/>
        <w:overflowPunct/>
        <w:topLinePunct w:val="0"/>
        <w:autoSpaceDE/>
        <w:autoSpaceDN/>
        <w:bidi w:val="0"/>
        <w:adjustRightInd/>
        <w:snapToGrid/>
        <w:spacing w:line="560" w:lineRule="exact"/>
        <w:ind w:left="0" w:right="0" w:firstLine="643"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1．明确保障对象。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根据</w:t>
      </w:r>
      <w:r>
        <w:rPr>
          <w:rFonts w:hint="eastAsia" w:ascii="方正仿宋_GBK" w:hAnsi="方正仿宋_GBK" w:eastAsia="方正仿宋_GBK" w:cs="方正仿宋_GBK"/>
          <w:color w:val="000000" w:themeColor="text1"/>
          <w:sz w:val="32"/>
          <w:szCs w:val="32"/>
          <w14:textFill>
            <w14:solidFill>
              <w14:schemeClr w14:val="tx1"/>
            </w14:solidFill>
          </w14:textFill>
        </w:rPr>
        <w:t>国发〔2023〕14号</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文件相关精神，</w:t>
      </w:r>
      <w:r>
        <w:rPr>
          <w:rFonts w:hint="eastAsia" w:ascii="方正仿宋_GBK" w:hAnsi="方正仿宋_GBK" w:eastAsia="方正仿宋_GBK" w:cs="方正仿宋_GBK"/>
          <w:color w:val="000000" w:themeColor="text1"/>
          <w:sz w:val="32"/>
          <w:szCs w:val="32"/>
          <w14:textFill>
            <w14:solidFill>
              <w14:schemeClr w14:val="tx1"/>
            </w14:solidFill>
          </w14:textFill>
        </w:rPr>
        <w:t>住房保障范围有序扩大至住房有困难且收入不高的城镇户籍家庭、机关事业单位人员、企业引进人才等工薪收入群体。要全面摸清</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我县</w:t>
      </w:r>
      <w:r>
        <w:rPr>
          <w:rFonts w:hint="eastAsia" w:ascii="方正仿宋_GBK" w:hAnsi="方正仿宋_GBK" w:eastAsia="方正仿宋_GBK" w:cs="方正仿宋_GBK"/>
          <w:color w:val="000000" w:themeColor="text1"/>
          <w:sz w:val="32"/>
          <w:szCs w:val="32"/>
          <w14:textFill>
            <w14:solidFill>
              <w14:schemeClr w14:val="tx1"/>
            </w14:solidFill>
          </w14:textFill>
        </w:rPr>
        <w:t>工薪收入群体购（租）住房需求，重点关注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引进人才、院校毕业创业大学生群体，</w:t>
      </w:r>
      <w:r>
        <w:rPr>
          <w:rFonts w:hint="eastAsia" w:ascii="方正仿宋_GBK" w:hAnsi="方正仿宋_GBK" w:eastAsia="方正仿宋_GBK" w:cs="方正仿宋_GBK"/>
          <w:color w:val="000000" w:themeColor="text1"/>
          <w:sz w:val="32"/>
          <w:szCs w:val="32"/>
          <w14:textFill>
            <w14:solidFill>
              <w14:schemeClr w14:val="tx1"/>
            </w14:solidFill>
          </w14:textFill>
        </w:rPr>
        <w:t>教师、医护、民警和乡镇干部等基层一线公共服务人员群体，产业务工人员、公交司机、环卫工人、外卖小哥、快递员等城市运行服务行业群体，</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支持其在县城享受保障性住房政策</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w:t>
      </w:r>
    </w:p>
    <w:p w14:paraId="404DAFF3">
      <w:pPr>
        <w:keepNext w:val="0"/>
        <w:keepLines w:val="0"/>
        <w:pageBreakBefore w:val="0"/>
        <w:widowControl w:val="0"/>
        <w:kinsoku/>
        <w:wordWrap w:val="0"/>
        <w:overflowPunct/>
        <w:topLinePunct w:val="0"/>
        <w:autoSpaceDE/>
        <w:autoSpaceDN/>
        <w:bidi w:val="0"/>
        <w:adjustRightInd/>
        <w:snapToGrid/>
        <w:spacing w:line="560" w:lineRule="exact"/>
        <w:ind w:left="0" w:right="0" w:firstLine="643"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2．设定准入条件。</w:t>
      </w:r>
      <w:r>
        <w:rPr>
          <w:rFonts w:hint="eastAsia" w:ascii="方正仿宋_GBK" w:hAnsi="方正仿宋_GBK" w:eastAsia="方正仿宋_GBK" w:cs="方正仿宋_GBK"/>
          <w:color w:val="000000" w:themeColor="text1"/>
          <w:sz w:val="32"/>
          <w:szCs w:val="32"/>
          <w14:textFill>
            <w14:solidFill>
              <w14:schemeClr w14:val="tx1"/>
            </w14:solidFill>
          </w14:textFill>
        </w:rPr>
        <w:t>配售型保障性住房保障对象的住房标准可按所在行政区域主城区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及县城中心城区</w:t>
      </w:r>
      <w:r>
        <w:rPr>
          <w:rFonts w:hint="eastAsia" w:ascii="方正仿宋_GBK" w:hAnsi="方正仿宋_GBK" w:eastAsia="方正仿宋_GBK" w:cs="方正仿宋_GBK"/>
          <w:color w:val="000000" w:themeColor="text1"/>
          <w:sz w:val="32"/>
          <w:szCs w:val="32"/>
          <w14:textFill>
            <w14:solidFill>
              <w14:schemeClr w14:val="tx1"/>
            </w14:solidFill>
          </w14:textFill>
        </w:rPr>
        <w:t>范围进行无房认定。保障性租赁住房对象的住房标准可按项目所在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街道（乡镇）的辖区</w:t>
      </w:r>
      <w:r>
        <w:rPr>
          <w:rFonts w:hint="eastAsia" w:ascii="方正仿宋_GBK" w:hAnsi="方正仿宋_GBK" w:eastAsia="方正仿宋_GBK" w:cs="方正仿宋_GBK"/>
          <w:color w:val="000000" w:themeColor="text1"/>
          <w:sz w:val="32"/>
          <w:szCs w:val="32"/>
          <w14:textFill>
            <w14:solidFill>
              <w14:schemeClr w14:val="tx1"/>
            </w14:solidFill>
          </w14:textFill>
        </w:rPr>
        <w:t>范围进行无房认定。以家庭为单位，保障对象只能购买一套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配套型</w:t>
      </w:r>
      <w:r>
        <w:rPr>
          <w:rFonts w:hint="eastAsia" w:ascii="方正仿宋_GBK" w:hAnsi="方正仿宋_GBK" w:eastAsia="方正仿宋_GBK" w:cs="方正仿宋_GBK"/>
          <w:color w:val="000000" w:themeColor="text1"/>
          <w:sz w:val="32"/>
          <w:szCs w:val="32"/>
          <w14:textFill>
            <w14:solidFill>
              <w14:schemeClr w14:val="tx1"/>
            </w14:solidFill>
          </w14:textFill>
        </w:rPr>
        <w:t>保障性住房。有不动产权属交易记录的家庭，需交易满二年后才可申请配售型保障性住房。已享受过房改房、经适房、</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公租</w:t>
      </w:r>
      <w:r>
        <w:rPr>
          <w:rFonts w:hint="eastAsia" w:ascii="方正仿宋_GBK" w:hAnsi="方正仿宋_GBK" w:eastAsia="方正仿宋_GBK" w:cs="方正仿宋_GBK"/>
          <w:color w:val="000000" w:themeColor="text1"/>
          <w:sz w:val="32"/>
          <w:szCs w:val="32"/>
          <w14:textFill>
            <w14:solidFill>
              <w14:schemeClr w14:val="tx1"/>
            </w14:solidFill>
          </w14:textFill>
        </w:rPr>
        <w:t>房等政策性住房的家庭，需按规定腾退原住房，才能申请配售型保障性住房。</w:t>
      </w:r>
    </w:p>
    <w:p w14:paraId="6D443FFE">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（二）合理收购住房</w:t>
      </w:r>
    </w:p>
    <w:p w14:paraId="735F3ECF">
      <w:pPr>
        <w:keepNext w:val="0"/>
        <w:keepLines w:val="0"/>
        <w:pageBreakBefore w:val="0"/>
        <w:widowControl w:val="0"/>
        <w:kinsoku/>
        <w:wordWrap w:val="0"/>
        <w:overflowPunct/>
        <w:topLinePunct w:val="0"/>
        <w:autoSpaceDE/>
        <w:autoSpaceDN/>
        <w:bidi w:val="0"/>
        <w:adjustRightInd/>
        <w:snapToGrid/>
        <w:spacing w:line="560" w:lineRule="exact"/>
        <w:ind w:left="0" w:right="0" w:firstLine="643"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3．明确基本条件。</w:t>
      </w:r>
      <w:r>
        <w:rPr>
          <w:rFonts w:hint="eastAsia" w:ascii="方正仿宋_GBK" w:hAnsi="方正仿宋_GBK" w:eastAsia="方正仿宋_GBK" w:cs="方正仿宋_GBK"/>
          <w:color w:val="000000" w:themeColor="text1"/>
          <w:sz w:val="32"/>
          <w:szCs w:val="32"/>
          <w14:textFill>
            <w14:solidFill>
              <w14:schemeClr w14:val="tx1"/>
            </w14:solidFill>
          </w14:textFill>
        </w:rPr>
        <w:t>收购用作保障性住房的商品房满足“一现、两防、三合适”的基本条件。“一现”即收购房源应为已建成存量商品房，相关手续齐备，可以办理不动产权证书。“两防”即要切实防范道德风险、严防新增</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县</w:t>
      </w:r>
      <w:r>
        <w:rPr>
          <w:rFonts w:hint="eastAsia" w:ascii="方正仿宋_GBK" w:hAnsi="方正仿宋_GBK" w:eastAsia="方正仿宋_GBK" w:cs="方正仿宋_GBK"/>
          <w:color w:val="000000" w:themeColor="text1"/>
          <w:sz w:val="32"/>
          <w:szCs w:val="32"/>
          <w14:textFill>
            <w14:solidFill>
              <w14:schemeClr w14:val="tx1"/>
            </w14:solidFill>
          </w14:textFill>
        </w:rPr>
        <w:t>政府隐性债务和</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县</w:t>
      </w:r>
      <w:r>
        <w:rPr>
          <w:rFonts w:hint="eastAsia" w:ascii="方正仿宋_GBK" w:hAnsi="方正仿宋_GBK" w:eastAsia="方正仿宋_GBK" w:cs="方正仿宋_GBK"/>
          <w:color w:val="000000" w:themeColor="text1"/>
          <w:sz w:val="32"/>
          <w:szCs w:val="32"/>
          <w14:textFill>
            <w14:solidFill>
              <w14:schemeClr w14:val="tx1"/>
            </w14:solidFill>
          </w14:textFill>
        </w:rPr>
        <w:t>国有企业经营风险。“三合适”即户型面</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积</w:t>
      </w:r>
      <w:r>
        <w:rPr>
          <w:rFonts w:hint="eastAsia" w:ascii="方正仿宋_GBK" w:hAnsi="方正仿宋_GBK" w:eastAsia="方正仿宋_GBK" w:cs="方正仿宋_GBK"/>
          <w:color w:val="000000" w:themeColor="text1"/>
          <w:sz w:val="32"/>
          <w:szCs w:val="32"/>
          <w14:textFill>
            <w14:solidFill>
              <w14:schemeClr w14:val="tx1"/>
            </w14:solidFill>
          </w14:textFill>
        </w:rPr>
        <w:t>合适，收购房源要符合国发〔2023〕14号和本地保障性住房管理办法要求；价格合适，收购价格应以同地段保障性住房重置价格为参考上限；位置合适，处于交通便利、配套设施较为齐全的区位。</w:t>
      </w:r>
    </w:p>
    <w:p w14:paraId="175E43F1">
      <w:pPr>
        <w:keepNext w:val="0"/>
        <w:keepLines w:val="0"/>
        <w:pageBreakBefore w:val="0"/>
        <w:widowControl w:val="0"/>
        <w:kinsoku/>
        <w:wordWrap w:val="0"/>
        <w:overflowPunct/>
        <w:topLinePunct w:val="0"/>
        <w:autoSpaceDE/>
        <w:autoSpaceDN/>
        <w:bidi w:val="0"/>
        <w:adjustRightInd/>
        <w:snapToGrid/>
        <w:spacing w:line="560" w:lineRule="exact"/>
        <w:ind w:left="0" w:right="0" w:firstLine="643"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4．把握收购标准。</w:t>
      </w:r>
      <w:r>
        <w:rPr>
          <w:rFonts w:hint="eastAsia" w:ascii="方正仿宋_GBK" w:hAnsi="方正仿宋_GBK" w:eastAsia="方正仿宋_GBK" w:cs="方正仿宋_GBK"/>
          <w:color w:val="000000" w:themeColor="text1"/>
          <w:sz w:val="32"/>
          <w:szCs w:val="32"/>
          <w14:textFill>
            <w14:solidFill>
              <w14:schemeClr w14:val="tx1"/>
            </w14:solidFill>
          </w14:textFill>
        </w:rPr>
        <w:t>收购房源</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由房地产开发企业提出申请，经县推动收购存量商品房作为保障性住房工作专班（</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以下简称工作专班</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）会议审议确定。</w:t>
      </w:r>
    </w:p>
    <w:p w14:paraId="7983521A">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收购房源原则上以栋或单元为单位进行收购，房源需相对集中。用于配售型保障性住房的，建筑面积原则上以120平方米左右为主</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，可适当放宽</w:t>
      </w:r>
      <w:r>
        <w:rPr>
          <w:rFonts w:hint="eastAsia" w:ascii="方正仿宋_GBK" w:hAnsi="方正仿宋_GBK" w:eastAsia="方正仿宋_GBK" w:cs="方正仿宋_GBK"/>
          <w:color w:val="000000" w:themeColor="text1"/>
          <w:sz w:val="32"/>
          <w:szCs w:val="32"/>
          <w14:textFill>
            <w14:solidFill>
              <w14:schemeClr w14:val="tx1"/>
            </w14:solidFill>
          </w14:textFill>
        </w:rPr>
        <w:t>；用于保障性租赁住房的，建筑面积最大不超过90平方米</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收购房源时可根据实际需要，同步收购一定比例的车位，价格由双方自行协商，但不得超过该小区同期同类型在售车位价格的75％。收购主体要与房地产开发企业明确收购房源维修权责，健全配套公共服务</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设施</w:t>
      </w:r>
      <w:r>
        <w:rPr>
          <w:rFonts w:hint="eastAsia" w:ascii="方正仿宋_GBK" w:hAnsi="方正仿宋_GBK" w:eastAsia="方正仿宋_GBK" w:cs="方正仿宋_GBK"/>
          <w:color w:val="000000" w:themeColor="text1"/>
          <w:sz w:val="32"/>
          <w:szCs w:val="32"/>
          <w14:textFill>
            <w14:solidFill>
              <w14:schemeClr w14:val="tx1"/>
            </w14:solidFill>
          </w14:textFill>
        </w:rPr>
        <w:t>，让群众住得舒心、安心。</w:t>
      </w:r>
    </w:p>
    <w:p w14:paraId="416DF558">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sectPr>
          <w:headerReference r:id="rId5" w:type="default"/>
          <w:footerReference r:id="rId6" w:type="default"/>
          <w:type w:val="continuous"/>
          <w:pgSz w:w="11900" w:h="16840"/>
          <w:pgMar w:top="2098" w:right="1587" w:bottom="1984" w:left="1587" w:header="850" w:footer="1701" w:gutter="0"/>
          <w:pgNumType w:fmt="decimal"/>
          <w:cols w:space="720" w:num="1"/>
          <w:rtlGutter w:val="0"/>
          <w:docGrid w:linePitch="1" w:charSpace="0"/>
        </w:sect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收购房源应当达到销售条件且权属清晰，满足金融机构发放贷款要求，不得存在查封等限制交易的情况，所有权及相关权利的归属应当明确、清晰、无争议，并满足以下条件：</w:t>
      </w:r>
    </w:p>
    <w:p w14:paraId="37319874">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①在签订正式批量收购协议前应当已完成商品房竣工</w:t>
      </w:r>
      <w:r>
        <w:rPr>
          <w:rFonts w:hint="eastAsia" w:ascii="方正仿宋_GBK" w:hAnsi="方正仿宋_GBK" w:eastAsia="方正仿宋_GBK" w:cs="方正仿宋_GBK"/>
          <w:color w:val="000000" w:themeColor="text1"/>
          <w:sz w:val="32"/>
          <w:szCs w:val="32"/>
          <w:u w:val="none"/>
          <w14:textFill>
            <w14:solidFill>
              <w14:schemeClr w14:val="tx1"/>
            </w14:solidFill>
          </w14:textFill>
        </w:rPr>
        <w:t>验收备案</w:t>
      </w:r>
      <w:r>
        <w:rPr>
          <w:rFonts w:hint="eastAsia" w:ascii="方正仿宋_GBK" w:hAnsi="方正仿宋_GBK" w:eastAsia="方正仿宋_GBK" w:cs="方正仿宋_GBK"/>
          <w:color w:val="000000" w:themeColor="text1"/>
          <w:sz w:val="32"/>
          <w:szCs w:val="32"/>
          <w14:textFill>
            <w14:solidFill>
              <w14:schemeClr w14:val="tx1"/>
            </w14:solidFill>
          </w14:textFill>
        </w:rPr>
        <w:t>、取得商品房实测面积报告、获得或在交易前能够取得该房源国有建设用地使用权及房屋所有权首次登记（商品房栋证），没有与房源直接相关的法律纠纷案件；</w:t>
      </w:r>
    </w:p>
    <w:p w14:paraId="0A13C81A">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②未纳入政府土地征收或储备计划；</w:t>
      </w:r>
    </w:p>
    <w:p w14:paraId="7195B4CE">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③在签订正式批量收购协议前，应当与房地产开发企业协议落实物业管理事宜。</w:t>
      </w:r>
    </w:p>
    <w:p w14:paraId="2350E3EC">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由住建、自然资源规划等行业管理部门聘请有资质的第三方机构评估，根据评估结果，确定县中心城区成本指导价为：</w:t>
      </w:r>
    </w:p>
    <w:p w14:paraId="043E5F99">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center"/>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单位：元/平方米</w:t>
      </w:r>
    </w:p>
    <w:tbl>
      <w:tblPr>
        <w:tblStyle w:val="6"/>
        <w:tblpPr w:leftFromText="180" w:rightFromText="180" w:vertAnchor="text" w:horzAnchor="page" w:tblpX="2402" w:tblpY="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5"/>
        <w:gridCol w:w="2647"/>
        <w:gridCol w:w="2594"/>
      </w:tblGrid>
      <w:tr w14:paraId="7339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215" w:type="dxa"/>
            <w:noWrap w:val="0"/>
            <w:vAlign w:val="center"/>
          </w:tcPr>
          <w:p w14:paraId="017E5F5D">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val="0"/>
                <w:bCs w:val="0"/>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vertAlign w:val="baseline"/>
                <w:lang w:val="en-US" w:eastAsia="zh-CN"/>
                <w14:textFill>
                  <w14:solidFill>
                    <w14:schemeClr w14:val="tx1"/>
                  </w14:solidFill>
                </w14:textFill>
              </w:rPr>
              <w:t>结构</w:t>
            </w:r>
          </w:p>
        </w:tc>
        <w:tc>
          <w:tcPr>
            <w:tcW w:w="2647" w:type="dxa"/>
            <w:noWrap w:val="0"/>
            <w:vAlign w:val="center"/>
          </w:tcPr>
          <w:p w14:paraId="0CF7EDC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val="0"/>
                <w:bCs w:val="0"/>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vertAlign w:val="baseline"/>
                <w:lang w:val="en-US" w:eastAsia="zh-CN"/>
                <w14:textFill>
                  <w14:solidFill>
                    <w14:schemeClr w14:val="tx1"/>
                  </w14:solidFill>
                </w14:textFill>
              </w:rPr>
              <w:t>划拨土地价格</w:t>
            </w:r>
          </w:p>
        </w:tc>
        <w:tc>
          <w:tcPr>
            <w:tcW w:w="2594" w:type="dxa"/>
            <w:noWrap w:val="0"/>
            <w:vAlign w:val="center"/>
          </w:tcPr>
          <w:p w14:paraId="4F0D53F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val="0"/>
                <w:bCs w:val="0"/>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vertAlign w:val="baseline"/>
                <w:lang w:val="en-US" w:eastAsia="zh-CN"/>
                <w14:textFill>
                  <w14:solidFill>
                    <w14:schemeClr w14:val="tx1"/>
                  </w14:solidFill>
                </w14:textFill>
              </w:rPr>
              <w:t>建安成本</w:t>
            </w:r>
          </w:p>
        </w:tc>
      </w:tr>
      <w:tr w14:paraId="14ED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215" w:type="dxa"/>
            <w:noWrap w:val="0"/>
            <w:vAlign w:val="center"/>
          </w:tcPr>
          <w:p w14:paraId="4FBFABB3">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t>框剪结构</w:t>
            </w:r>
          </w:p>
        </w:tc>
        <w:tc>
          <w:tcPr>
            <w:tcW w:w="2647" w:type="dxa"/>
            <w:noWrap w:val="0"/>
            <w:vAlign w:val="center"/>
          </w:tcPr>
          <w:p w14:paraId="10552844">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t>528</w:t>
            </w:r>
          </w:p>
        </w:tc>
        <w:tc>
          <w:tcPr>
            <w:tcW w:w="2594" w:type="dxa"/>
            <w:noWrap w:val="0"/>
            <w:vAlign w:val="center"/>
          </w:tcPr>
          <w:p w14:paraId="5FCFF4D3">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t>2423</w:t>
            </w:r>
          </w:p>
        </w:tc>
      </w:tr>
      <w:tr w14:paraId="4766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15" w:type="dxa"/>
            <w:noWrap w:val="0"/>
            <w:vAlign w:val="center"/>
          </w:tcPr>
          <w:p w14:paraId="6E7C5FD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t>砖混结构</w:t>
            </w:r>
          </w:p>
        </w:tc>
        <w:tc>
          <w:tcPr>
            <w:tcW w:w="2647" w:type="dxa"/>
            <w:noWrap w:val="0"/>
            <w:vAlign w:val="center"/>
          </w:tcPr>
          <w:p w14:paraId="671A73F3">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t>528</w:t>
            </w:r>
          </w:p>
        </w:tc>
        <w:tc>
          <w:tcPr>
            <w:tcW w:w="2594" w:type="dxa"/>
            <w:noWrap w:val="0"/>
            <w:vAlign w:val="center"/>
          </w:tcPr>
          <w:p w14:paraId="58F3A7B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t>1510</w:t>
            </w:r>
          </w:p>
        </w:tc>
      </w:tr>
    </w:tbl>
    <w:p w14:paraId="091E865F">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08B73EE8">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2B9C7C44">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房</w:t>
      </w:r>
    </w:p>
    <w:p w14:paraId="36EE4A1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640" w:firstLineChars="200"/>
        <w:jc w:val="lef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具体房源收购由收购单位分区域或项目委托不少于两家具备房地产评估二级以上资质的第三方机构进行评估，并根据评估结果汇总形成定价方案，由县工作专班审定。评估价格不得高于上述指导价，高于指导价的以指导价为准。收购价格以具体房源的划拨土地成本和建安成本、加不超过5%的利润计算构成。</w:t>
      </w:r>
    </w:p>
    <w:p w14:paraId="3D45A92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 w:val="32"/>
          <w:szCs w:val="32"/>
          <w14:textFill>
            <w14:solidFill>
              <w14:schemeClr w14:val="tx1"/>
            </w14:solidFill>
          </w14:textFill>
        </w:rPr>
        <w:t>确定</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租售价格</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配售价格和出租价格需</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工作专班会议审议</w:t>
      </w:r>
      <w:r>
        <w:rPr>
          <w:rFonts w:hint="eastAsia" w:ascii="方正仿宋_GBK" w:hAnsi="方正仿宋_GBK" w:eastAsia="方正仿宋_GBK" w:cs="方正仿宋_GBK"/>
          <w:color w:val="000000" w:themeColor="text1"/>
          <w:sz w:val="32"/>
          <w:szCs w:val="32"/>
          <w14:textFill>
            <w14:solidFill>
              <w14:schemeClr w14:val="tx1"/>
            </w14:solidFill>
          </w14:textFill>
        </w:rPr>
        <w:t>确定，其中销售价格的利润不超过收购价格的5％，出租价格</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不高</w:t>
      </w:r>
      <w:r>
        <w:rPr>
          <w:rFonts w:hint="eastAsia" w:ascii="方正仿宋_GBK" w:hAnsi="方正仿宋_GBK" w:eastAsia="方正仿宋_GBK" w:cs="方正仿宋_GBK"/>
          <w:color w:val="000000" w:themeColor="text1"/>
          <w:sz w:val="32"/>
          <w:szCs w:val="32"/>
          <w14:textFill>
            <w14:solidFill>
              <w14:schemeClr w14:val="tx1"/>
            </w14:solidFill>
          </w14:textFill>
        </w:rPr>
        <w:t>于同地段、同品质市场租赁住房评估租金的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32"/>
          <w:szCs w:val="32"/>
          <w14:textFill>
            <w14:solidFill>
              <w14:schemeClr w14:val="tx1"/>
            </w14:solidFill>
          </w14:textFill>
        </w:rPr>
        <w:t>0％。</w:t>
      </w:r>
    </w:p>
    <w:p w14:paraId="1BEE81D3">
      <w:pPr>
        <w:keepNext w:val="0"/>
        <w:keepLines w:val="0"/>
        <w:pageBreakBefore w:val="0"/>
        <w:widowControl w:val="0"/>
        <w:kinsoku/>
        <w:wordWrap w:val="0"/>
        <w:overflowPunct/>
        <w:topLinePunct w:val="0"/>
        <w:autoSpaceDE/>
        <w:autoSpaceDN/>
        <w:bidi w:val="0"/>
        <w:adjustRightInd/>
        <w:snapToGrid/>
        <w:spacing w:line="560" w:lineRule="exact"/>
        <w:ind w:left="0" w:right="0" w:firstLine="643"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6.明确</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实施主体</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浮梁悦群房屋租赁有限公司为浮梁县保障性住房工作的统一平台，负责组织</w:t>
      </w:r>
      <w:r>
        <w:rPr>
          <w:rFonts w:hint="eastAsia" w:ascii="方正仿宋_GBK" w:hAnsi="方正仿宋_GBK" w:eastAsia="方正仿宋_GBK" w:cs="方正仿宋_GBK"/>
          <w:color w:val="000000" w:themeColor="text1"/>
          <w:sz w:val="32"/>
          <w:szCs w:val="32"/>
          <w14:textFill>
            <w14:solidFill>
              <w14:schemeClr w14:val="tx1"/>
            </w14:solidFill>
          </w14:textFill>
        </w:rPr>
        <w:t>实施</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浮梁县</w:t>
      </w:r>
      <w:r>
        <w:rPr>
          <w:rFonts w:hint="eastAsia" w:ascii="方正仿宋_GBK" w:hAnsi="方正仿宋_GBK" w:eastAsia="方正仿宋_GBK" w:cs="方正仿宋_GBK"/>
          <w:color w:val="000000" w:themeColor="text1"/>
          <w:sz w:val="32"/>
          <w:szCs w:val="32"/>
          <w14:textFill>
            <w14:solidFill>
              <w14:schemeClr w14:val="tx1"/>
            </w14:solidFill>
          </w14:textFill>
        </w:rPr>
        <w:t>保障性住房收购、销售（租赁）以及运营管理工作。</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浮梁悦群房屋租赁有限公司应加强企业建设，科学规范管理，提高保障能力水平，</w:t>
      </w:r>
      <w:r>
        <w:rPr>
          <w:rFonts w:hint="eastAsia" w:ascii="方正仿宋_GBK" w:hAnsi="方正仿宋_GBK" w:eastAsia="方正仿宋_GBK" w:cs="方正仿宋_GBK"/>
          <w:color w:val="000000" w:themeColor="text1"/>
          <w:sz w:val="32"/>
          <w:szCs w:val="32"/>
          <w14:textFill>
            <w14:solidFill>
              <w14:schemeClr w14:val="tx1"/>
            </w14:solidFill>
          </w14:textFill>
        </w:rPr>
        <w:t>切实加强监督管理</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保障性住房运行</w:t>
      </w:r>
      <w:r>
        <w:rPr>
          <w:rFonts w:hint="eastAsia" w:ascii="方正仿宋_GBK" w:hAnsi="方正仿宋_GBK" w:eastAsia="方正仿宋_GBK" w:cs="方正仿宋_GBK"/>
          <w:color w:val="000000" w:themeColor="text1"/>
          <w:sz w:val="32"/>
          <w:szCs w:val="32"/>
          <w14:textFill>
            <w14:solidFill>
              <w14:schemeClr w14:val="tx1"/>
            </w14:solidFill>
          </w14:textFill>
        </w:rPr>
        <w:t>资金单列账目、单独核算，确保专款专用、封闭管理。</w:t>
      </w:r>
    </w:p>
    <w:p w14:paraId="658CE12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drawing>
          <wp:anchor distT="0" distB="0" distL="114300" distR="114300" simplePos="0" relativeHeight="251659264" behindDoc="1" locked="0" layoutInCell="1" allowOverlap="1">
            <wp:simplePos x="0" y="0"/>
            <wp:positionH relativeFrom="page">
              <wp:posOffset>88900</wp:posOffset>
            </wp:positionH>
            <wp:positionV relativeFrom="page">
              <wp:posOffset>5994400</wp:posOffset>
            </wp:positionV>
            <wp:extent cx="508000" cy="1066800"/>
            <wp:effectExtent l="0" t="0" r="0" b="0"/>
            <wp:wrapNone/>
            <wp:docPr id="3"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MP"/>
                    <pic:cNvPicPr>
                      <a:picLocks noChangeAspect="1"/>
                    </pic:cNvPicPr>
                  </pic:nvPicPr>
                  <pic:blipFill>
                    <a:blip r:embed="rId12"/>
                    <a:stretch>
                      <a:fillRect/>
                    </a:stretch>
                  </pic:blipFill>
                  <pic:spPr>
                    <a:xfrm>
                      <a:off x="0" y="0"/>
                      <a:ext cx="508000" cy="1066800"/>
                    </a:xfrm>
                    <a:prstGeom prst="rect">
                      <a:avLst/>
                    </a:prstGeom>
                    <a:noFill/>
                    <a:ln>
                      <a:noFill/>
                    </a:ln>
                  </pic:spPr>
                </pic:pic>
              </a:graphicData>
            </a:graphic>
          </wp:anchor>
        </w:drawing>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 w:val="32"/>
          <w:szCs w:val="32"/>
          <w14:textFill>
            <w14:solidFill>
              <w14:schemeClr w14:val="tx1"/>
            </w14:solidFill>
          </w14:textFill>
        </w:rPr>
        <w:t>依法依规实施。</w:t>
      </w:r>
      <w:r>
        <w:rPr>
          <w:rFonts w:hint="eastAsia" w:ascii="方正仿宋_GBK" w:hAnsi="方正仿宋_GBK" w:eastAsia="方正仿宋_GBK" w:cs="方正仿宋_GBK"/>
          <w:color w:val="000000" w:themeColor="text1"/>
          <w:sz w:val="32"/>
          <w:szCs w:val="32"/>
          <w14:textFill>
            <w14:solidFill>
              <w14:schemeClr w14:val="tx1"/>
            </w14:solidFill>
          </w14:textFill>
        </w:rPr>
        <w:t>要按照工薪收入群体住房保障需求，建立保障对象轮候库，分区域摸清配售和租赁意愿后，由</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浮梁悦群房屋租赁有限公司</w:t>
      </w:r>
      <w:r>
        <w:rPr>
          <w:rFonts w:hint="eastAsia" w:ascii="方正仿宋_GBK" w:hAnsi="方正仿宋_GBK" w:eastAsia="方正仿宋_GBK" w:cs="方正仿宋_GBK"/>
          <w:color w:val="000000" w:themeColor="text1"/>
          <w:sz w:val="32"/>
          <w:szCs w:val="32"/>
          <w14:textFill>
            <w14:solidFill>
              <w14:schemeClr w14:val="tx1"/>
            </w14:solidFill>
          </w14:textFill>
        </w:rPr>
        <w:t>优先选择群众意愿强烈的区域，公开征集所有建设主体符合条件的房源，并在公共资源交易网发布公告。同时，要按照“市场化、法治化”原则，交易各方在自愿、平等的前提下，公开、公平、公正开展交易，并严格按照国家法律法规、国资监管规定有关要求，明确程序、逐级决策，确保收购事宜合法合规。鼓励支持县国有企业所持有房源平等参与房源交易。</w:t>
      </w:r>
    </w:p>
    <w:p w14:paraId="3BF4CC72">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（三）严格项目监管</w:t>
      </w:r>
    </w:p>
    <w:p w14:paraId="74777B58">
      <w:pPr>
        <w:keepNext w:val="0"/>
        <w:keepLines w:val="0"/>
        <w:pageBreakBefore w:val="0"/>
        <w:widowControl w:val="0"/>
        <w:kinsoku/>
        <w:wordWrap w:val="0"/>
        <w:overflowPunct/>
        <w:topLinePunct w:val="0"/>
        <w:autoSpaceDE/>
        <w:autoSpaceDN/>
        <w:bidi w:val="0"/>
        <w:adjustRightInd/>
        <w:snapToGrid/>
        <w:spacing w:line="560" w:lineRule="exact"/>
        <w:ind w:left="0" w:right="0" w:firstLine="643"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8.</w:t>
      </w:r>
      <w:r>
        <w:rPr>
          <w:rFonts w:hint="eastAsia" w:ascii="方正仿宋_GBK" w:hAnsi="方正仿宋_GBK" w:eastAsia="方正仿宋_GBK" w:cs="方正仿宋_GBK"/>
          <w:b/>
          <w:bCs/>
          <w:color w:val="000000" w:themeColor="text1"/>
          <w:sz w:val="32"/>
          <w:szCs w:val="32"/>
          <w14:textFill>
            <w14:solidFill>
              <w14:schemeClr w14:val="tx1"/>
            </w14:solidFill>
          </w14:textFill>
        </w:rPr>
        <w:t>规范房源使用。</w:t>
      </w:r>
      <w:r>
        <w:rPr>
          <w:rFonts w:hint="eastAsia" w:ascii="方正仿宋_GBK" w:hAnsi="方正仿宋_GBK" w:eastAsia="方正仿宋_GBK" w:cs="方正仿宋_GBK"/>
          <w:color w:val="000000" w:themeColor="text1"/>
          <w:sz w:val="32"/>
          <w:szCs w:val="32"/>
          <w14:textFill>
            <w14:solidFill>
              <w14:schemeClr w14:val="tx1"/>
            </w14:solidFill>
          </w14:textFill>
        </w:rPr>
        <w:t>收购房源全部列入</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我</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县</w:t>
      </w:r>
      <w:r>
        <w:rPr>
          <w:rFonts w:hint="eastAsia" w:ascii="方正仿宋_GBK" w:hAnsi="方正仿宋_GBK" w:eastAsia="方正仿宋_GBK" w:cs="方正仿宋_GBK"/>
          <w:color w:val="000000" w:themeColor="text1"/>
          <w:sz w:val="32"/>
          <w:szCs w:val="32"/>
          <w14:textFill>
            <w14:solidFill>
              <w14:schemeClr w14:val="tx1"/>
            </w14:solidFill>
          </w14:textFill>
        </w:rPr>
        <w:t>保障性安居工程建设计划，并统一纳入国家、省和市配售型保障性住房或保障性租赁住房信息系统管理。配售型保障性住房严格实施封闭管理，禁止以任何方式违法违规变更为商品住房流入市场。用作保障性租赁住房房源运营期不得低于</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32"/>
          <w:szCs w:val="32"/>
          <w14:textFill>
            <w14:solidFill>
              <w14:schemeClr w14:val="tx1"/>
            </w14:solidFill>
          </w14:textFill>
        </w:rPr>
        <w:t>年，且不动产权属证需载明“属于保障性租赁住房，运营期不低于</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32"/>
          <w:szCs w:val="32"/>
          <w14:textFill>
            <w14:solidFill>
              <w14:schemeClr w14:val="tx1"/>
            </w14:solidFill>
          </w14:textFill>
        </w:rPr>
        <w:t>年，其间不得改变使用用途”等内容。如购房家庭因长期闲置、确需转让、因辞职等原因离开机关事业单位或企业，主动要求政府回购的，</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由</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浮梁悦群房屋租赁有限公司</w:t>
      </w:r>
      <w:r>
        <w:rPr>
          <w:rFonts w:hint="eastAsia" w:ascii="方正仿宋_GBK" w:hAnsi="方正仿宋_GBK" w:eastAsia="方正仿宋_GBK" w:cs="方正仿宋_GBK"/>
          <w:color w:val="000000" w:themeColor="text1"/>
          <w:sz w:val="32"/>
          <w:szCs w:val="32"/>
          <w14:textFill>
            <w14:solidFill>
              <w14:schemeClr w14:val="tx1"/>
            </w14:solidFill>
          </w14:textFill>
        </w:rPr>
        <w:t>根据房屋出售价格，综合住房折旧、存款利率或物价指数等因素进行回购，且个人装修部分不计入回购价格。</w:t>
      </w:r>
    </w:p>
    <w:p w14:paraId="27674476">
      <w:pPr>
        <w:keepNext w:val="0"/>
        <w:keepLines w:val="0"/>
        <w:pageBreakBefore w:val="0"/>
        <w:widowControl w:val="0"/>
        <w:kinsoku/>
        <w:wordWrap w:val="0"/>
        <w:overflowPunct/>
        <w:topLinePunct w:val="0"/>
        <w:autoSpaceDE/>
        <w:autoSpaceDN/>
        <w:bidi w:val="0"/>
        <w:adjustRightInd/>
        <w:snapToGrid/>
        <w:spacing w:line="560" w:lineRule="exact"/>
        <w:ind w:left="0" w:right="0" w:firstLine="643"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 w:val="32"/>
          <w:szCs w:val="32"/>
          <w14:textFill>
            <w14:solidFill>
              <w14:schemeClr w14:val="tx1"/>
            </w14:solidFill>
          </w14:textFill>
        </w:rPr>
        <w:t>提高租售效率</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教体、公安、</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人社、</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卫健、各乡镇等成员单位</w:t>
      </w:r>
      <w:r>
        <w:rPr>
          <w:rFonts w:hint="eastAsia" w:ascii="方正仿宋_GBK" w:hAnsi="方正仿宋_GBK" w:eastAsia="方正仿宋_GBK" w:cs="方正仿宋_GBK"/>
          <w:color w:val="000000" w:themeColor="text1"/>
          <w:sz w:val="32"/>
          <w:szCs w:val="32"/>
          <w14:textFill>
            <w14:solidFill>
              <w14:schemeClr w14:val="tx1"/>
            </w14:solidFill>
          </w14:textFill>
        </w:rPr>
        <w:t>准确掌握</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所辖权属范围</w:t>
      </w:r>
      <w:r>
        <w:rPr>
          <w:rFonts w:hint="eastAsia" w:ascii="方正仿宋_GBK" w:hAnsi="方正仿宋_GBK" w:eastAsia="方正仿宋_GBK" w:cs="方正仿宋_GBK"/>
          <w:color w:val="000000" w:themeColor="text1"/>
          <w:sz w:val="32"/>
          <w:szCs w:val="32"/>
          <w14:textFill>
            <w14:solidFill>
              <w14:schemeClr w14:val="tx1"/>
            </w14:solidFill>
          </w14:textFill>
        </w:rPr>
        <w:t>保障性住房需求，收购主体</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要</w:t>
      </w:r>
      <w:r>
        <w:rPr>
          <w:rFonts w:hint="eastAsia" w:ascii="方正仿宋_GBK" w:hAnsi="方正仿宋_GBK" w:eastAsia="方正仿宋_GBK" w:cs="方正仿宋_GBK"/>
          <w:color w:val="000000" w:themeColor="text1"/>
          <w:sz w:val="32"/>
          <w:szCs w:val="32"/>
          <w14:textFill>
            <w14:solidFill>
              <w14:schemeClr w14:val="tx1"/>
            </w14:solidFill>
          </w14:textFill>
        </w:rPr>
        <w:t>迅速配售或租赁收购房源，不得积压导致资产闲置。原则上签订收购协议后，收购房源三个月内使用效率应该达到50％及以上，半年内达80％及以上</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51DA3E30">
      <w:pPr>
        <w:keepNext w:val="0"/>
        <w:keepLines w:val="0"/>
        <w:pageBreakBefore w:val="0"/>
        <w:widowControl w:val="0"/>
        <w:kinsoku/>
        <w:wordWrap w:val="0"/>
        <w:overflowPunct/>
        <w:topLinePunct w:val="0"/>
        <w:autoSpaceDE/>
        <w:autoSpaceDN/>
        <w:bidi w:val="0"/>
        <w:adjustRightInd/>
        <w:snapToGrid/>
        <w:spacing w:line="560" w:lineRule="exact"/>
        <w:ind w:left="0" w:right="0" w:firstLine="643"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10.</w:t>
      </w:r>
      <w:r>
        <w:rPr>
          <w:rFonts w:hint="eastAsia" w:ascii="方正仿宋_GBK" w:hAnsi="方正仿宋_GBK" w:eastAsia="方正仿宋_GBK" w:cs="方正仿宋_GBK"/>
          <w:b/>
          <w:bCs/>
          <w:color w:val="000000" w:themeColor="text1"/>
          <w:sz w:val="32"/>
          <w:szCs w:val="32"/>
          <w14:textFill>
            <w14:solidFill>
              <w14:schemeClr w14:val="tx1"/>
            </w14:solidFill>
          </w14:textFill>
        </w:rPr>
        <w:t>坚决防范风险。</w:t>
      </w:r>
      <w:r>
        <w:rPr>
          <w:rFonts w:hint="eastAsia" w:ascii="方正仿宋_GBK" w:hAnsi="方正仿宋_GBK" w:eastAsia="方正仿宋_GBK" w:cs="方正仿宋_GBK"/>
          <w:color w:val="000000" w:themeColor="text1"/>
          <w:sz w:val="32"/>
          <w:szCs w:val="32"/>
          <w14:textFill>
            <w14:solidFill>
              <w14:schemeClr w14:val="tx1"/>
            </w14:solidFill>
          </w14:textFill>
        </w:rPr>
        <w:t>要加强资金监管，房地产开发企业出售已建成存量商品房用作保障性住房所得资金，要依法依规优先偿还本项目债务，结余资金用于本企业保交房项目、新建或在建开发项目建设。</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14:textFill>
            <w14:solidFill>
              <w14:schemeClr w14:val="tx1"/>
            </w14:solidFill>
          </w14:textFill>
        </w:rPr>
        <w:t>审计部门要在回购项目开展一段时间后，及时组织专项审计，督促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浮梁悦群房屋租赁有限公司</w:t>
      </w:r>
      <w:r>
        <w:rPr>
          <w:rFonts w:hint="eastAsia" w:ascii="方正仿宋_GBK" w:hAnsi="方正仿宋_GBK" w:eastAsia="方正仿宋_GBK" w:cs="方正仿宋_GBK"/>
          <w:color w:val="000000" w:themeColor="text1"/>
          <w:sz w:val="32"/>
          <w:szCs w:val="32"/>
          <w14:textFill>
            <w14:solidFill>
              <w14:schemeClr w14:val="tx1"/>
            </w14:solidFill>
          </w14:textFill>
        </w:rPr>
        <w:t>切实防范道德风险，严防新增</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14:textFill>
            <w14:solidFill>
              <w14:schemeClr w14:val="tx1"/>
            </w14:solidFill>
          </w14:textFill>
        </w:rPr>
        <w:t>政府隐性债务和</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14:textFill>
            <w14:solidFill>
              <w14:schemeClr w14:val="tx1"/>
            </w14:solidFill>
          </w14:textFill>
        </w:rPr>
        <w:t>国有企业经营风险。</w:t>
      </w:r>
    </w:p>
    <w:p w14:paraId="7C6B9E37">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（四）多方政策支持</w:t>
      </w:r>
    </w:p>
    <w:p w14:paraId="720FA123">
      <w:pPr>
        <w:keepNext w:val="0"/>
        <w:keepLines w:val="0"/>
        <w:pageBreakBefore w:val="0"/>
        <w:widowControl w:val="0"/>
        <w:kinsoku/>
        <w:wordWrap w:val="0"/>
        <w:overflowPunct/>
        <w:topLinePunct w:val="0"/>
        <w:autoSpaceDE/>
        <w:autoSpaceDN/>
        <w:bidi w:val="0"/>
        <w:adjustRightInd/>
        <w:snapToGrid/>
        <w:spacing w:line="560" w:lineRule="exact"/>
        <w:ind w:left="0" w:right="0" w:firstLine="643"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11.</w:t>
      </w:r>
      <w:r>
        <w:rPr>
          <w:rFonts w:hint="eastAsia" w:ascii="方正仿宋_GBK" w:hAnsi="方正仿宋_GBK" w:eastAsia="方正仿宋_GBK" w:cs="方正仿宋_GBK"/>
          <w:b/>
          <w:bCs/>
          <w:color w:val="000000" w:themeColor="text1"/>
          <w:sz w:val="32"/>
          <w:szCs w:val="32"/>
          <w14:textFill>
            <w14:solidFill>
              <w14:schemeClr w14:val="tx1"/>
            </w14:solidFill>
          </w14:textFill>
        </w:rPr>
        <w:t>争取资金优惠。</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对符合条件的保障性租赁住房项目，参照《关于印发景德镇市中心城区保障性租赁住房建设和管理实施办法的通知》（景府办发〔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3号）文件执行资金筹措和税收优惠。</w:t>
      </w:r>
      <w:r>
        <w:rPr>
          <w:rFonts w:hint="eastAsia" w:ascii="方正仿宋_GBK" w:hAnsi="方正仿宋_GBK" w:eastAsia="方正仿宋_GBK" w:cs="方正仿宋_GBK"/>
          <w:color w:val="000000" w:themeColor="text1"/>
          <w:sz w:val="32"/>
          <w:szCs w:val="32"/>
          <w14:textFill>
            <w14:solidFill>
              <w14:schemeClr w14:val="tx1"/>
            </w14:solidFill>
          </w14:textFill>
        </w:rPr>
        <w:t>对符合条件的配售型保障性住房项目，积极争取中央和省财政补助资金等资金支持。支持利用住房公积金向缴存职工发放购买配售型保障性住房的个人住房贷款。探索与房地产业转型发展新模式相适应的金融服务模式，鼓励银行因地制宜提供金融服务。鼓励银行业金融机构按照市场化、法治化原则，提供保障性住房开发贷款和个人住房贷款，专款专用、封闭管理。符合条件的保障性住房项目有关税费政策，按财政部、税务总局、住房城乡建设部《关于保障性住房有关税费政策的公告》（2023年第70号）规定执行。</w:t>
      </w:r>
    </w:p>
    <w:p w14:paraId="36E06D06">
      <w:pPr>
        <w:keepNext w:val="0"/>
        <w:keepLines w:val="0"/>
        <w:pageBreakBefore w:val="0"/>
        <w:widowControl w:val="0"/>
        <w:kinsoku/>
        <w:wordWrap w:val="0"/>
        <w:overflowPunct/>
        <w:topLinePunct w:val="0"/>
        <w:autoSpaceDE/>
        <w:autoSpaceDN/>
        <w:bidi w:val="0"/>
        <w:adjustRightInd/>
        <w:snapToGrid/>
        <w:spacing w:line="560" w:lineRule="exact"/>
        <w:ind w:left="0" w:right="0" w:firstLine="643"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12.</w:t>
      </w:r>
      <w:r>
        <w:rPr>
          <w:rFonts w:hint="eastAsia" w:ascii="方正仿宋_GBK" w:hAnsi="方正仿宋_GBK" w:eastAsia="方正仿宋_GBK" w:cs="方正仿宋_GBK"/>
          <w:b/>
          <w:bCs/>
          <w:color w:val="000000" w:themeColor="text1"/>
          <w:sz w:val="32"/>
          <w:szCs w:val="32"/>
          <w14:textFill>
            <w14:solidFill>
              <w14:schemeClr w14:val="tx1"/>
            </w14:solidFill>
          </w14:textFill>
        </w:rPr>
        <w:t>落实专项贷款。</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14:textFill>
            <w14:solidFill>
              <w14:schemeClr w14:val="tx1"/>
            </w14:solidFill>
          </w14:textFill>
        </w:rPr>
        <w:t>工作专班根据本方案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及相关实施</w:t>
      </w:r>
      <w:r>
        <w:rPr>
          <w:rFonts w:hint="eastAsia" w:ascii="方正仿宋_GBK" w:hAnsi="方正仿宋_GBK" w:eastAsia="方正仿宋_GBK" w:cs="方正仿宋_GBK"/>
          <w:color w:val="000000" w:themeColor="text1"/>
          <w:sz w:val="32"/>
          <w:szCs w:val="32"/>
          <w14:textFill>
            <w14:solidFill>
              <w14:schemeClr w14:val="tx1"/>
            </w14:solidFill>
          </w14:textFill>
        </w:rPr>
        <w:t>细则，指导</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浮梁悦群房屋租赁有限公司</w:t>
      </w:r>
      <w:r>
        <w:rPr>
          <w:rFonts w:hint="eastAsia" w:ascii="方正仿宋_GBK" w:hAnsi="方正仿宋_GBK" w:eastAsia="方正仿宋_GBK" w:cs="方正仿宋_GBK"/>
          <w:color w:val="000000" w:themeColor="text1"/>
          <w:sz w:val="32"/>
          <w:szCs w:val="32"/>
          <w14:textFill>
            <w14:solidFill>
              <w14:schemeClr w14:val="tx1"/>
            </w14:solidFill>
          </w14:textFill>
        </w:rPr>
        <w:t>向参与银行提出贷款申请。对于收购后用作配售型保障性住房的，可申请保障性住房收购贷款；对于收购后用作配租型保障性住房的，可申请住房租赁团体购房贷款。</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国家金融监督管理总局浮梁监管支局</w:t>
      </w:r>
      <w:r>
        <w:rPr>
          <w:rFonts w:hint="eastAsia" w:ascii="方正仿宋_GBK" w:hAnsi="方正仿宋_GBK" w:eastAsia="方正仿宋_GBK" w:cs="方正仿宋_GBK"/>
          <w:color w:val="000000" w:themeColor="text1"/>
          <w:sz w:val="32"/>
          <w:szCs w:val="32"/>
          <w14:textFill>
            <w14:solidFill>
              <w14:schemeClr w14:val="tx1"/>
            </w14:solidFill>
          </w14:textFill>
        </w:rPr>
        <w:t>应积极争取保障性住房再贷款政策，鼓励和引导银行等金融机构参与收购已建成存量商品房项目。</w:t>
      </w:r>
    </w:p>
    <w:p w14:paraId="09F3458E">
      <w:pPr>
        <w:keepNext w:val="0"/>
        <w:keepLines w:val="0"/>
        <w:pageBreakBefore w:val="0"/>
        <w:widowControl w:val="0"/>
        <w:kinsoku/>
        <w:wordWrap w:val="0"/>
        <w:overflowPunct/>
        <w:topLinePunct w:val="0"/>
        <w:autoSpaceDE/>
        <w:autoSpaceDN/>
        <w:bidi w:val="0"/>
        <w:adjustRightInd/>
        <w:snapToGrid/>
        <w:spacing w:line="560" w:lineRule="exact"/>
        <w:ind w:left="0" w:right="0" w:firstLine="643"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13.</w:t>
      </w:r>
      <w:r>
        <w:rPr>
          <w:rFonts w:hint="eastAsia" w:ascii="方正仿宋_GBK" w:hAnsi="方正仿宋_GBK" w:eastAsia="方正仿宋_GBK" w:cs="方正仿宋_GBK"/>
          <w:b/>
          <w:bCs/>
          <w:color w:val="000000" w:themeColor="text1"/>
          <w:sz w:val="32"/>
          <w:szCs w:val="32"/>
          <w14:textFill>
            <w14:solidFill>
              <w14:schemeClr w14:val="tx1"/>
            </w14:solidFill>
          </w14:textFill>
        </w:rPr>
        <w:t>简化用地审批。</w:t>
      </w:r>
      <w:r>
        <w:rPr>
          <w:rFonts w:hint="eastAsia" w:ascii="方正仿宋_GBK" w:hAnsi="方正仿宋_GBK" w:eastAsia="方正仿宋_GBK" w:cs="方正仿宋_GBK"/>
          <w:color w:val="000000" w:themeColor="text1"/>
          <w:sz w:val="32"/>
          <w:szCs w:val="32"/>
          <w14:textFill>
            <w14:solidFill>
              <w14:schemeClr w14:val="tx1"/>
            </w14:solidFill>
          </w14:textFill>
        </w:rPr>
        <w:t>对于收购已建成商品房或存量土地用作保障性住房的，政府批准收回时可一并同意划拨供地，简化手续，土地使用权权利性质可根据批准文件变更登记为划拨。</w:t>
      </w:r>
    </w:p>
    <w:p w14:paraId="0E7A33E9">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三、保障措施</w:t>
      </w:r>
    </w:p>
    <w:p w14:paraId="3FE5973E">
      <w:pPr>
        <w:keepNext w:val="0"/>
        <w:keepLines w:val="0"/>
        <w:pageBreakBefore w:val="0"/>
        <w:widowControl w:val="0"/>
        <w:kinsoku/>
        <w:wordWrap w:val="0"/>
        <w:overflowPunct/>
        <w:topLinePunct w:val="0"/>
        <w:autoSpaceDE/>
        <w:autoSpaceDN/>
        <w:bidi w:val="0"/>
        <w:adjustRightInd/>
        <w:snapToGrid/>
        <w:spacing w:line="560" w:lineRule="exact"/>
        <w:ind w:left="0" w:right="0" w:firstLine="643"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一是</w:t>
      </w:r>
      <w:r>
        <w:rPr>
          <w:rFonts w:hint="eastAsia" w:ascii="方正仿宋_GBK" w:hAnsi="方正仿宋_GBK" w:eastAsia="方正仿宋_GBK" w:cs="方正仿宋_GBK"/>
          <w:b/>
          <w:bCs/>
          <w:color w:val="000000" w:themeColor="text1"/>
          <w:sz w:val="32"/>
          <w:szCs w:val="32"/>
          <w14:textFill>
            <w14:solidFill>
              <w14:schemeClr w14:val="tx1"/>
            </w14:solidFill>
          </w14:textFill>
        </w:rPr>
        <w:t>强</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化</w:t>
      </w:r>
      <w:r>
        <w:rPr>
          <w:rFonts w:hint="eastAsia" w:ascii="方正仿宋_GBK" w:hAnsi="方正仿宋_GBK" w:eastAsia="方正仿宋_GBK" w:cs="方正仿宋_GBK"/>
          <w:b/>
          <w:bCs/>
          <w:color w:val="000000" w:themeColor="text1"/>
          <w:sz w:val="32"/>
          <w:szCs w:val="32"/>
          <w14:textFill>
            <w14:solidFill>
              <w14:schemeClr w14:val="tx1"/>
            </w14:solidFill>
          </w14:textFill>
        </w:rPr>
        <w:t>组织领导。</w:t>
      </w:r>
      <w:r>
        <w:rPr>
          <w:rFonts w:hint="eastAsia" w:ascii="方正仿宋_GBK" w:hAnsi="方正仿宋_GBK" w:eastAsia="方正仿宋_GBK" w:cs="方正仿宋_GBK"/>
          <w:color w:val="000000" w:themeColor="text1"/>
          <w:sz w:val="32"/>
          <w:szCs w:val="32"/>
          <w14:textFill>
            <w14:solidFill>
              <w14:schemeClr w14:val="tx1"/>
            </w14:solidFill>
          </w14:textFill>
        </w:rPr>
        <w:t>成立</w:t>
      </w:r>
      <w:r>
        <w:rPr>
          <w:rFonts w:hint="eastAsia" w:ascii="方正仿宋_GBK" w:hAnsi="方正仿宋_GBK" w:eastAsia="方正仿宋_GBK" w:cs="方正仿宋_GBK"/>
          <w:color w:val="000000" w:themeColor="text1"/>
          <w:sz w:val="32"/>
          <w:szCs w:val="32"/>
          <w:lang w:eastAsia="zh"/>
          <w14:textFill>
            <w14:solidFill>
              <w14:schemeClr w14:val="tx1"/>
            </w14:solidFill>
          </w14:textFill>
        </w:rPr>
        <w:t>推动收购存量商品房作为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保障性住房工作专班</w:t>
      </w:r>
      <w:r>
        <w:rPr>
          <w:rFonts w:hint="eastAsia" w:ascii="方正仿宋_GBK" w:hAnsi="方正仿宋_GBK" w:eastAsia="方正仿宋_GBK" w:cs="方正仿宋_GBK"/>
          <w:color w:val="000000" w:themeColor="text1"/>
          <w:sz w:val="32"/>
          <w:szCs w:val="32"/>
          <w14:textFill>
            <w14:solidFill>
              <w14:schemeClr w14:val="tx1"/>
            </w14:solidFill>
          </w14:textFill>
        </w:rPr>
        <w:t>，落实专门人员，细化实施办法，统筹推进</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我县</w:t>
      </w:r>
      <w:r>
        <w:rPr>
          <w:rFonts w:hint="eastAsia" w:ascii="方正仿宋_GBK" w:hAnsi="方正仿宋_GBK" w:eastAsia="方正仿宋_GBK" w:cs="方正仿宋_GBK"/>
          <w:color w:val="000000" w:themeColor="text1"/>
          <w:sz w:val="32"/>
          <w:szCs w:val="32"/>
          <w14:textFill>
            <w14:solidFill>
              <w14:schemeClr w14:val="tx1"/>
            </w14:solidFill>
          </w14:textFill>
        </w:rPr>
        <w:t>收购已建成存量商品房用作保障性住房各项工作。</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二是</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注重部门</w:t>
      </w:r>
      <w:r>
        <w:rPr>
          <w:rFonts w:hint="eastAsia" w:ascii="方正仿宋_GBK" w:hAnsi="方正仿宋_GBK" w:eastAsia="方正仿宋_GBK" w:cs="方正仿宋_GBK"/>
          <w:b/>
          <w:bCs/>
          <w:color w:val="000000" w:themeColor="text1"/>
          <w:sz w:val="32"/>
          <w:szCs w:val="32"/>
          <w14:textFill>
            <w14:solidFill>
              <w14:schemeClr w14:val="tx1"/>
            </w14:solidFill>
          </w14:textFill>
        </w:rPr>
        <w:t>协作。</w:t>
      </w:r>
      <w:r>
        <w:rPr>
          <w:rFonts w:hint="eastAsia" w:ascii="方正仿宋_GBK" w:hAnsi="方正仿宋_GBK" w:eastAsia="方正仿宋_GBK" w:cs="方正仿宋_GBK"/>
          <w:color w:val="000000" w:themeColor="text1"/>
          <w:sz w:val="32"/>
          <w:szCs w:val="32"/>
          <w14:textFill>
            <w14:solidFill>
              <w14:schemeClr w14:val="tx1"/>
            </w14:solidFill>
          </w14:textFill>
        </w:rPr>
        <w:t>专班建立定期例会、跟踪、监测、宣传等机制，协调解决回购商品房用作保障性住房工作中的相关问题</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有关</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职能</w:t>
      </w:r>
      <w:r>
        <w:rPr>
          <w:rFonts w:hint="eastAsia" w:ascii="方正仿宋_GBK" w:hAnsi="方正仿宋_GBK" w:eastAsia="方正仿宋_GBK" w:cs="方正仿宋_GBK"/>
          <w:color w:val="000000" w:themeColor="text1"/>
          <w:sz w:val="32"/>
          <w:szCs w:val="32"/>
          <w14:textFill>
            <w14:solidFill>
              <w14:schemeClr w14:val="tx1"/>
            </w14:solidFill>
          </w14:textFill>
        </w:rPr>
        <w:t>部门要按照职责研究完善相关配套政策，构建快速审批绿色通道，形成联动合力，简化审批程序，提高项目审批效率，最大限度地缩短审批时间，加快收购存量商品房用作保障性住房转化投用速度。</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三是</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加强宣传引导</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结合</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我县</w:t>
      </w:r>
      <w:r>
        <w:rPr>
          <w:rFonts w:hint="eastAsia" w:ascii="方正仿宋_GBK" w:hAnsi="方正仿宋_GBK" w:eastAsia="方正仿宋_GBK" w:cs="方正仿宋_GBK"/>
          <w:color w:val="000000" w:themeColor="text1"/>
          <w:sz w:val="32"/>
          <w:szCs w:val="32"/>
          <w14:textFill>
            <w14:solidFill>
              <w14:schemeClr w14:val="tx1"/>
            </w14:solidFill>
          </w14:textFill>
        </w:rPr>
        <w:t>实际，因地制宜统筹谋划收购商品房用作保障性住房工作，完善“1+N”政策体系，</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同时</w:t>
      </w:r>
      <w:r>
        <w:rPr>
          <w:rFonts w:hint="eastAsia" w:ascii="方正仿宋_GBK" w:hAnsi="方正仿宋_GBK" w:eastAsia="方正仿宋_GBK" w:cs="方正仿宋_GBK"/>
          <w:color w:val="000000" w:themeColor="text1"/>
          <w:sz w:val="32"/>
          <w:szCs w:val="32"/>
          <w14:textFill>
            <w14:solidFill>
              <w14:schemeClr w14:val="tx1"/>
            </w14:solidFill>
          </w14:textFill>
        </w:rPr>
        <w:t>加强政策宣传解读、实践引领和舆论引导，运</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用</w:t>
      </w:r>
      <w:r>
        <w:rPr>
          <w:rFonts w:hint="eastAsia" w:ascii="方正仿宋_GBK" w:hAnsi="方正仿宋_GBK" w:eastAsia="方正仿宋_GBK" w:cs="方正仿宋_GBK"/>
          <w:color w:val="000000" w:themeColor="text1"/>
          <w:sz w:val="32"/>
          <w:szCs w:val="32"/>
          <w14:textFill>
            <w14:solidFill>
              <w14:schemeClr w14:val="tx1"/>
            </w14:solidFill>
          </w14:textFill>
        </w:rPr>
        <w:t>各类媒体加大宣传报道力度，推广经验做法，营造全社会关心、支持、参与的良好氛围。</w:t>
      </w:r>
    </w:p>
    <w:p w14:paraId="7C4BFE66">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44409A7C">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color w:val="000000" w:themeColor="text1"/>
          <w:sz w:val="32"/>
          <w:szCs w:val="32"/>
          <w:lang w:eastAsia="zh-CN"/>
          <w14:textFill>
            <w14:solidFill>
              <w14:schemeClr w14:val="tx1"/>
            </w14:solidFill>
          </w14:textFill>
        </w:rPr>
        <w:sectPr>
          <w:headerReference r:id="rId7" w:type="default"/>
          <w:footerReference r:id="rId8" w:type="default"/>
          <w:type w:val="continuous"/>
          <w:pgSz w:w="11900" w:h="16840"/>
          <w:pgMar w:top="2098" w:right="1587" w:bottom="1984" w:left="1587" w:header="850" w:footer="1701" w:gutter="0"/>
          <w:pgNumType w:fmt="decimal"/>
          <w:cols w:space="720" w:num="1"/>
          <w:rtlGutter w:val="0"/>
          <w:docGrid w:linePitch="1" w:charSpace="0"/>
        </w:sectPr>
      </w:pPr>
      <w:r>
        <w:rPr>
          <w:rFonts w:hint="eastAsia" w:ascii="方正仿宋_GBK" w:hAnsi="方正仿宋_GBK" w:eastAsia="方正仿宋_GBK" w:cs="方正仿宋_GBK"/>
          <w:color w:val="000000" w:themeColor="text1"/>
          <w:sz w:val="32"/>
          <w:szCs w:val="32"/>
          <w14:textFill>
            <w14:solidFill>
              <w14:schemeClr w14:val="tx1"/>
            </w14:solidFill>
          </w14:textFill>
        </w:rPr>
        <w:t>附件：</w:t>
      </w:r>
      <w:r>
        <w:rPr>
          <w:rFonts w:hint="eastAsia" w:ascii="方正仿宋_GBK" w:hAnsi="方正仿宋_GBK" w:eastAsia="方正仿宋_GBK" w:cs="方正仿宋_GBK"/>
          <w:color w:val="000000" w:themeColor="text1"/>
          <w:w w:val="95"/>
          <w:sz w:val="32"/>
          <w:szCs w:val="32"/>
          <w:lang w:eastAsia="zh-CN"/>
          <w14:textFill>
            <w14:solidFill>
              <w14:schemeClr w14:val="tx1"/>
            </w14:solidFill>
          </w14:textFill>
        </w:rPr>
        <w:t>浮梁县推动收购存量商品房作为保障性住房</w:t>
      </w:r>
      <w:r>
        <w:rPr>
          <w:rFonts w:hint="eastAsia" w:ascii="方正仿宋_GBK" w:hAnsi="方正仿宋_GBK" w:eastAsia="方正仿宋_GBK" w:cs="方正仿宋_GBK"/>
          <w:color w:val="000000" w:themeColor="text1"/>
          <w:w w:val="95"/>
          <w:sz w:val="32"/>
          <w:szCs w:val="32"/>
          <w14:textFill>
            <w14:solidFill>
              <w14:schemeClr w14:val="tx1"/>
            </w14:solidFill>
          </w14:textFill>
        </w:rPr>
        <w:t>工作专班</w:t>
      </w:r>
    </w:p>
    <w:p w14:paraId="4BE511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附件</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 xml:space="preserve"> </w:t>
      </w:r>
    </w:p>
    <w:p w14:paraId="6F5B55F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000000" w:themeColor="text1"/>
          <w:sz w:val="32"/>
          <w:szCs w:val="32"/>
          <w:lang w:val="en-US" w:eastAsia="zh-CN"/>
          <w14:textFill>
            <w14:solidFill>
              <w14:schemeClr w14:val="tx1"/>
            </w14:solidFill>
          </w14:textFill>
        </w:rPr>
      </w:pPr>
    </w:p>
    <w:p w14:paraId="7EE7A88E">
      <w:pPr>
        <w:jc w:val="center"/>
        <w:rPr>
          <w:rFonts w:hint="eastAsia" w:ascii="方正小标宋简体" w:hAnsi="方正小标宋简体" w:eastAsia="方正小标宋简体" w:cs="方正小标宋简体"/>
          <w:b w:val="0"/>
          <w:bCs w:val="0"/>
          <w:color w:val="000000" w:themeColor="text1"/>
          <w:sz w:val="44"/>
          <w:szCs w:val="44"/>
          <w:lang w:eastAsia="zh"/>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浮梁县</w:t>
      </w:r>
      <w:r>
        <w:rPr>
          <w:rFonts w:hint="eastAsia" w:ascii="方正小标宋简体" w:hAnsi="方正小标宋简体" w:eastAsia="方正小标宋简体" w:cs="方正小标宋简体"/>
          <w:b w:val="0"/>
          <w:bCs w:val="0"/>
          <w:color w:val="000000" w:themeColor="text1"/>
          <w:sz w:val="44"/>
          <w:szCs w:val="44"/>
          <w:lang w:eastAsia="zh"/>
          <w14:textFill>
            <w14:solidFill>
              <w14:schemeClr w14:val="tx1"/>
            </w14:solidFill>
          </w14:textFill>
        </w:rPr>
        <w:t>推动收购存量商品房作为</w:t>
      </w:r>
    </w:p>
    <w:p w14:paraId="0F461D80">
      <w:pPr>
        <w:jc w:val="center"/>
        <w:rPr>
          <w:rFonts w:hint="eastAsia" w:ascii="宋体" w:hAnsi="宋体" w:eastAsia="宋体" w:cs="宋体"/>
          <w:b/>
          <w:bCs/>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保障性住房工作专班</w:t>
      </w:r>
    </w:p>
    <w:p w14:paraId="039138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p>
    <w:p w14:paraId="7C5D5FB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为认真贯彻落实党中央、国务院决策部署，落实《国务院办公厅关于转发住房城乡建设部、自然资源部、中国人民银行、金融监管总局〈切实做好保交房工作总体方案〉的通知》（国办发〔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2024</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26号</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）要求，切实做好收购已建成存量商品房用作保障性住房工作，解决收入不高的工薪收入群体及城市需要的引进人才等群个体住房困难问题，经县政府研究同意，成立浮梁县</w:t>
      </w:r>
      <w:r>
        <w:rPr>
          <w:rFonts w:hint="eastAsia" w:ascii="方正仿宋_GBK" w:hAnsi="方正仿宋_GBK" w:eastAsia="方正仿宋_GBK" w:cs="方正仿宋_GBK"/>
          <w:color w:val="000000" w:themeColor="text1"/>
          <w:sz w:val="32"/>
          <w:szCs w:val="32"/>
          <w:lang w:eastAsia="zh"/>
          <w14:textFill>
            <w14:solidFill>
              <w14:schemeClr w14:val="tx1"/>
            </w14:solidFill>
          </w14:textFill>
        </w:rPr>
        <w:t>推动收购存量商品房作为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保障性住房工作专班，组成人员如下：</w:t>
      </w:r>
    </w:p>
    <w:p w14:paraId="5B4FFE8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长：段铖松</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lang w:val="en-US" w:eastAsia="zh"/>
          <w14:textFill>
            <w14:solidFill>
              <w14:schemeClr w14:val="tx1"/>
            </w14:solidFill>
          </w14:textFill>
        </w:rPr>
        <w:t>县委常委、</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常务副县长</w:t>
      </w:r>
    </w:p>
    <w:p w14:paraId="38096A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副组长：曹火根  </w:t>
      </w:r>
      <w:r>
        <w:rPr>
          <w:rFonts w:hint="eastAsia" w:ascii="方正仿宋_GBK" w:hAnsi="方正仿宋_GBK" w:eastAsia="方正仿宋_GBK" w:cs="方正仿宋_GBK"/>
          <w:color w:val="000000" w:themeColor="text1"/>
          <w:sz w:val="32"/>
          <w:szCs w:val="32"/>
          <w:lang w:val="en-US" w:eastAsia="zh"/>
          <w14:textFill>
            <w14:solidFill>
              <w14:schemeClr w14:val="tx1"/>
            </w14:solidFill>
          </w14:textFill>
        </w:rPr>
        <w:t>县委常委、</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副县长</w:t>
      </w:r>
    </w:p>
    <w:p w14:paraId="3F5150FD">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3195" w:leftChars="912" w:hanging="1280" w:hangingChars="4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
          <w14:textFill>
            <w14:solidFill>
              <w14:schemeClr w14:val="tx1"/>
            </w14:solidFill>
          </w14:textFill>
        </w:rPr>
        <w:t xml:space="preserve">叶全养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新平先行区党工委委员、管委会副主任，</w:t>
      </w:r>
      <w:r>
        <w:rPr>
          <w:rFonts w:hint="eastAsia" w:ascii="方正仿宋_GBK" w:hAnsi="方正仿宋_GBK" w:eastAsia="方正仿宋_GBK" w:cs="方正仿宋_GBK"/>
          <w:color w:val="000000" w:themeColor="text1"/>
          <w:sz w:val="32"/>
          <w:szCs w:val="32"/>
          <w:lang w:val="en-US" w:eastAsia="zh"/>
          <w14:textFill>
            <w14:solidFill>
              <w14:schemeClr w14:val="tx1"/>
            </w14:solidFill>
          </w14:textFill>
        </w:rPr>
        <w:t>县投控集团董事长</w:t>
      </w:r>
    </w:p>
    <w:p w14:paraId="5812CC48">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成  员：王高华  县委宣传部常务副部长</w:t>
      </w:r>
    </w:p>
    <w:p w14:paraId="118BE340">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firstLine="1920" w:firstLineChars="6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施春民  县委编办主任</w:t>
      </w:r>
    </w:p>
    <w:p w14:paraId="262CE912">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firstLine="1920" w:firstLineChars="6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张金生  县信访局局长</w:t>
      </w:r>
    </w:p>
    <w:p w14:paraId="3E2EC328">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color w:val="000000" w:themeColor="text1"/>
          <w:sz w:val="32"/>
          <w:szCs w:val="32"/>
          <w:lang w:val="en-US" w:eastAsia="zh"/>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ab/>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刘  勤  县发改委主任</w:t>
      </w:r>
    </w:p>
    <w:p w14:paraId="15064B9F">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firstLine="0" w:firstLineChars="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ab/>
      </w:r>
      <w:r>
        <w:rPr>
          <w:rFonts w:hint="eastAsia" w:ascii="方正仿宋_GBK" w:hAnsi="方正仿宋_GBK" w:eastAsia="方正仿宋_GBK" w:cs="方正仿宋_GBK"/>
          <w:color w:val="000000" w:themeColor="text1"/>
          <w:sz w:val="32"/>
          <w:szCs w:val="32"/>
          <w:lang w:val="en-US" w:eastAsia="zh"/>
          <w14:textFill>
            <w14:solidFill>
              <w14:schemeClr w14:val="tx1"/>
            </w14:solidFill>
          </w14:textFill>
        </w:rPr>
        <w:t>吴黎静</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县教体局</w:t>
      </w:r>
      <w:r>
        <w:rPr>
          <w:rFonts w:hint="eastAsia" w:ascii="方正仿宋_GBK" w:hAnsi="方正仿宋_GBK" w:eastAsia="方正仿宋_GBK" w:cs="方正仿宋_GBK"/>
          <w:color w:val="000000" w:themeColor="text1"/>
          <w:sz w:val="32"/>
          <w:szCs w:val="32"/>
          <w:lang w:val="en-US" w:eastAsia="zh"/>
          <w14:textFill>
            <w14:solidFill>
              <w14:schemeClr w14:val="tx1"/>
            </w14:solidFill>
          </w14:textFill>
        </w:rPr>
        <w:t>党</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组</w:t>
      </w:r>
      <w:r>
        <w:rPr>
          <w:rFonts w:hint="eastAsia" w:ascii="方正仿宋_GBK" w:hAnsi="方正仿宋_GBK" w:eastAsia="方正仿宋_GBK" w:cs="方正仿宋_GBK"/>
          <w:color w:val="000000" w:themeColor="text1"/>
          <w:sz w:val="32"/>
          <w:szCs w:val="32"/>
          <w:lang w:val="en-US" w:eastAsia="zh"/>
          <w14:textFill>
            <w14:solidFill>
              <w14:schemeClr w14:val="tx1"/>
            </w14:solidFill>
          </w14:textFill>
        </w:rPr>
        <w:t>书记</w:t>
      </w:r>
    </w:p>
    <w:p w14:paraId="03F52D22">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firstLine="0" w:firstLineChars="0"/>
        <w:textAlignment w:val="auto"/>
        <w:rPr>
          <w:rFonts w:hint="eastAsia" w:ascii="方正仿宋_GBK" w:hAnsi="方正仿宋_GBK" w:eastAsia="方正仿宋_GBK" w:cs="方正仿宋_GBK"/>
          <w:color w:val="000000" w:themeColor="text1"/>
          <w:sz w:val="32"/>
          <w:szCs w:val="32"/>
          <w:lang w:val="en-US" w:eastAsia="zh"/>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ab/>
      </w:r>
      <w:r>
        <w:rPr>
          <w:rFonts w:hint="eastAsia" w:ascii="方正仿宋_GBK" w:hAnsi="方正仿宋_GBK" w:eastAsia="方正仿宋_GBK" w:cs="方正仿宋_GBK"/>
          <w:color w:val="000000" w:themeColor="text1"/>
          <w:sz w:val="32"/>
          <w:szCs w:val="32"/>
          <w:lang w:val="en-US" w:eastAsia="zh"/>
          <w14:textFill>
            <w14:solidFill>
              <w14:schemeClr w14:val="tx1"/>
            </w14:solidFill>
          </w14:textFill>
        </w:rPr>
        <w:t>郑根庆</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县公安局</w:t>
      </w:r>
      <w:r>
        <w:rPr>
          <w:rFonts w:hint="eastAsia" w:ascii="方正仿宋_GBK" w:hAnsi="方正仿宋_GBK" w:eastAsia="方正仿宋_GBK" w:cs="方正仿宋_GBK"/>
          <w:color w:val="000000" w:themeColor="text1"/>
          <w:sz w:val="32"/>
          <w:szCs w:val="32"/>
          <w:lang w:val="en-US" w:eastAsia="zh"/>
          <w14:textFill>
            <w14:solidFill>
              <w14:schemeClr w14:val="tx1"/>
            </w14:solidFill>
          </w14:textFill>
        </w:rPr>
        <w:t>常务副</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局长</w:t>
      </w:r>
    </w:p>
    <w:p w14:paraId="2FD66DD6">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firstLine="0" w:firstLineChars="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ab/>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吴  明  县财政局局长</w:t>
      </w:r>
    </w:p>
    <w:p w14:paraId="6A449ED6">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firstLine="0" w:firstLineChars="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ab/>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张金虎  县人社局局长</w:t>
      </w:r>
    </w:p>
    <w:p w14:paraId="287F9CE1">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firstLine="0" w:firstLineChars="0"/>
        <w:textAlignment w:val="auto"/>
        <w:rPr>
          <w:rFonts w:hint="eastAsia" w:ascii="方正仿宋_GBK" w:hAnsi="方正仿宋_GBK" w:eastAsia="方正仿宋_GBK" w:cs="方正仿宋_GBK"/>
          <w:color w:val="000000" w:themeColor="text1"/>
          <w:sz w:val="32"/>
          <w:szCs w:val="32"/>
          <w:lang w:val="en-US" w:eastAsia="zh"/>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ab/>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林  群  县自然资源规划局局</w:t>
      </w:r>
      <w:r>
        <w:rPr>
          <w:rFonts w:hint="eastAsia" w:ascii="方正仿宋_GBK" w:hAnsi="方正仿宋_GBK" w:eastAsia="方正仿宋_GBK" w:cs="方正仿宋_GBK"/>
          <w:color w:val="000000" w:themeColor="text1"/>
          <w:sz w:val="32"/>
          <w:szCs w:val="32"/>
          <w:lang w:val="en-US" w:eastAsia="zh"/>
          <w14:textFill>
            <w14:solidFill>
              <w14:schemeClr w14:val="tx1"/>
            </w14:solidFill>
          </w14:textFill>
        </w:rPr>
        <w:t>长</w:t>
      </w:r>
    </w:p>
    <w:p w14:paraId="33B56871">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firstLine="0" w:firstLineChars="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ab/>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段小伟  县住建局局长</w:t>
      </w:r>
    </w:p>
    <w:p w14:paraId="61B3284C">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firstLine="0" w:firstLineChars="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ab/>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黄  波  县税务局局长</w:t>
      </w:r>
    </w:p>
    <w:p w14:paraId="468733FB">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firstLine="0" w:firstLineChars="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ab/>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占海英  县卫健委主任</w:t>
      </w:r>
    </w:p>
    <w:p w14:paraId="51916ECF">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firstLine="0" w:firstLineChars="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汪跃进  县城市社区管委会主任</w:t>
      </w:r>
    </w:p>
    <w:p w14:paraId="19E2921F">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firstLine="0" w:firstLineChars="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pacing w:val="0"/>
          <w:sz w:val="32"/>
          <w:szCs w:val="32"/>
          <w:lang w:val="en-US" w:eastAsia="zh-CN"/>
          <w14:textFill>
            <w14:solidFill>
              <w14:schemeClr w14:val="tx1"/>
            </w14:solidFill>
          </w14:textFill>
        </w:rPr>
        <w:t>马  进  市住房公积金管理中心浮梁办事处主任</w:t>
      </w:r>
    </w:p>
    <w:p w14:paraId="53BCD859">
      <w:pPr>
        <w:keepNext w:val="0"/>
        <w:keepLines w:val="0"/>
        <w:pageBreakBefore w:val="0"/>
        <w:widowControl w:val="0"/>
        <w:tabs>
          <w:tab w:val="left" w:pos="1890"/>
          <w:tab w:val="left" w:pos="3150"/>
          <w:tab w:val="left" w:pos="3360"/>
        </w:tabs>
        <w:kinsoku/>
        <w:wordWrap/>
        <w:overflowPunct/>
        <w:topLinePunct w:val="0"/>
        <w:autoSpaceDE/>
        <w:autoSpaceDN/>
        <w:bidi w:val="0"/>
        <w:adjustRightInd/>
        <w:snapToGrid/>
        <w:spacing w:line="560" w:lineRule="exact"/>
        <w:ind w:left="0" w:leftChars="0" w:firstLine="1920" w:firstLineChars="6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朱红海  国家金融监管总局浮梁监管支局局长</w:t>
      </w:r>
    </w:p>
    <w:p w14:paraId="168A7BAB">
      <w:pPr>
        <w:keepNext w:val="0"/>
        <w:keepLines w:val="0"/>
        <w:pageBreakBefore w:val="0"/>
        <w:widowControl w:val="0"/>
        <w:tabs>
          <w:tab w:val="left" w:pos="1890"/>
          <w:tab w:val="left" w:pos="3150"/>
          <w:tab w:val="left" w:pos="3360"/>
        </w:tabs>
        <w:kinsoku/>
        <w:wordWrap/>
        <w:overflowPunct/>
        <w:topLinePunct w:val="0"/>
        <w:autoSpaceDE/>
        <w:autoSpaceDN/>
        <w:bidi w:val="0"/>
        <w:adjustRightInd/>
        <w:snapToGrid/>
        <w:spacing w:line="560" w:lineRule="exact"/>
        <w:ind w:left="0" w:leftChars="0" w:firstLine="3200" w:firstLineChars="10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各乡（镇）长</w:t>
      </w:r>
    </w:p>
    <w:p w14:paraId="050901D2">
      <w:pPr>
        <w:keepNext w:val="0"/>
        <w:keepLines w:val="0"/>
        <w:pageBreakBefore w:val="0"/>
        <w:widowControl w:val="0"/>
        <w:tabs>
          <w:tab w:val="left" w:pos="1890"/>
          <w:tab w:val="left" w:pos="3150"/>
          <w:tab w:val="left" w:pos="3360"/>
        </w:tabs>
        <w:kinsoku/>
        <w:wordWrap/>
        <w:overflowPunct/>
        <w:topLinePunct w:val="0"/>
        <w:autoSpaceDE/>
        <w:autoSpaceDN/>
        <w:bidi w:val="0"/>
        <w:adjustRightInd/>
        <w:snapToGrid/>
        <w:spacing w:line="560" w:lineRule="exact"/>
        <w:ind w:left="0" w:leftChars="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ab/>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王  震  浮梁悦群房屋租赁有限公司总经理</w:t>
      </w:r>
    </w:p>
    <w:p w14:paraId="6CCD14A5">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工作专班下设办公室，办公室设在县住建局，由段小伟同志兼任办公室主任，王震任办公室副主任，办公室人员从工作专班成员单位抽调。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14:paraId="6EB18C70">
      <w:pPr>
        <w:keepNext w:val="0"/>
        <w:keepLines w:val="0"/>
        <w:pageBreakBefore w:val="0"/>
        <w:widowControl w:val="0"/>
        <w:kinsoku/>
        <w:wordWrap w:val="0"/>
        <w:overflowPunct/>
        <w:topLinePunct w:val="0"/>
        <w:autoSpaceDE/>
        <w:autoSpaceDN/>
        <w:bidi w:val="0"/>
        <w:adjustRightInd/>
        <w:snapToGrid/>
        <w:spacing w:line="580" w:lineRule="exact"/>
        <w:ind w:left="0" w:right="0" w:firstLine="608" w:firstLineChars="200"/>
        <w:jc w:val="both"/>
        <w:textAlignment w:val="auto"/>
        <w:rPr>
          <w:rFonts w:hint="eastAsia" w:ascii="仿宋" w:hAnsi="仿宋" w:eastAsia="仿宋" w:cs="仿宋"/>
          <w:color w:val="000000" w:themeColor="text1"/>
          <w:w w:val="95"/>
          <w:sz w:val="32"/>
          <w:szCs w:val="32"/>
          <w14:textFill>
            <w14:solidFill>
              <w14:schemeClr w14:val="tx1"/>
            </w14:solidFill>
          </w14:textFill>
        </w:rPr>
      </w:pPr>
    </w:p>
    <w:p w14:paraId="39121A95">
      <w:pPr>
        <w:rPr>
          <w:color w:val="000000" w:themeColor="text1"/>
          <w14:textFill>
            <w14:solidFill>
              <w14:schemeClr w14:val="tx1"/>
            </w14:solidFill>
          </w14:textFill>
        </w:rPr>
      </w:pPr>
    </w:p>
    <w:p w14:paraId="3B72AD37">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0BF7F59E">
      <w:pPr>
        <w:pStyle w:val="2"/>
        <w:rPr>
          <w:rFonts w:hint="eastAsia"/>
          <w:color w:val="000000" w:themeColor="text1"/>
          <w14:textFill>
            <w14:solidFill>
              <w14:schemeClr w14:val="tx1"/>
            </w14:solidFill>
          </w14:textFill>
        </w:rPr>
      </w:pPr>
    </w:p>
    <w:p w14:paraId="2E372C60">
      <w:pPr>
        <w:pStyle w:val="2"/>
        <w:rPr>
          <w:rFonts w:hint="eastAsia"/>
          <w:color w:val="000000" w:themeColor="text1"/>
          <w14:textFill>
            <w14:solidFill>
              <w14:schemeClr w14:val="tx1"/>
            </w14:solidFill>
          </w14:textFill>
        </w:rPr>
      </w:pPr>
    </w:p>
    <w:p w14:paraId="1D0FF90C">
      <w:pPr>
        <w:pStyle w:val="2"/>
        <w:rPr>
          <w:rFonts w:hint="eastAsia"/>
          <w:color w:val="000000" w:themeColor="text1"/>
          <w14:textFill>
            <w14:solidFill>
              <w14:schemeClr w14:val="tx1"/>
            </w14:solidFill>
          </w14:textFill>
        </w:rPr>
      </w:pPr>
    </w:p>
    <w:p w14:paraId="2E4997E9">
      <w:pPr>
        <w:pStyle w:val="2"/>
        <w:rPr>
          <w:rFonts w:hint="eastAsia"/>
          <w:color w:val="000000" w:themeColor="text1"/>
          <w14:textFill>
            <w14:solidFill>
              <w14:schemeClr w14:val="tx1"/>
            </w14:solidFill>
          </w14:textFill>
        </w:rPr>
      </w:pPr>
    </w:p>
    <w:p w14:paraId="2CC57CD3">
      <w:pPr>
        <w:pStyle w:val="2"/>
        <w:rPr>
          <w:rFonts w:hint="eastAsia"/>
          <w:color w:val="000000" w:themeColor="text1"/>
          <w14:textFill>
            <w14:solidFill>
              <w14:schemeClr w14:val="tx1"/>
            </w14:solidFill>
          </w14:textFill>
        </w:rPr>
      </w:pPr>
    </w:p>
    <w:p w14:paraId="5F179595">
      <w:pPr>
        <w:pStyle w:val="2"/>
        <w:rPr>
          <w:rFonts w:hint="eastAsia"/>
          <w:color w:val="000000" w:themeColor="text1"/>
          <w14:textFill>
            <w14:solidFill>
              <w14:schemeClr w14:val="tx1"/>
            </w14:solidFill>
          </w14:textFill>
        </w:rPr>
      </w:pPr>
    </w:p>
    <w:p w14:paraId="4237A26B">
      <w:pPr>
        <w:pStyle w:val="2"/>
        <w:rPr>
          <w:rFonts w:hint="eastAsia"/>
          <w:color w:val="000000" w:themeColor="text1"/>
          <w14:textFill>
            <w14:solidFill>
              <w14:schemeClr w14:val="tx1"/>
            </w14:solidFill>
          </w14:textFill>
        </w:rPr>
      </w:pPr>
    </w:p>
    <w:p w14:paraId="7ADECB27">
      <w:pPr>
        <w:pStyle w:val="2"/>
        <w:rPr>
          <w:rFonts w:hint="eastAsia"/>
          <w:color w:val="000000" w:themeColor="text1"/>
          <w14:textFill>
            <w14:solidFill>
              <w14:schemeClr w14:val="tx1"/>
            </w14:solidFill>
          </w14:textFill>
        </w:rPr>
      </w:pPr>
    </w:p>
    <w:p w14:paraId="6C8F5C3E">
      <w:pPr>
        <w:pStyle w:val="2"/>
        <w:rPr>
          <w:rFonts w:hint="eastAsia"/>
          <w:color w:val="000000" w:themeColor="text1"/>
          <w14:textFill>
            <w14:solidFill>
              <w14:schemeClr w14:val="tx1"/>
            </w14:solidFill>
          </w14:textFill>
        </w:rPr>
      </w:pPr>
    </w:p>
    <w:p w14:paraId="18DBF274">
      <w:pPr>
        <w:pStyle w:val="2"/>
        <w:rPr>
          <w:rFonts w:hint="eastAsia"/>
          <w:color w:val="000000" w:themeColor="text1"/>
          <w14:textFill>
            <w14:solidFill>
              <w14:schemeClr w14:val="tx1"/>
            </w14:solidFill>
          </w14:textFill>
        </w:rPr>
      </w:pPr>
    </w:p>
    <w:p w14:paraId="606BEAF6">
      <w:pPr>
        <w:pStyle w:val="2"/>
        <w:rPr>
          <w:rFonts w:hint="eastAsia"/>
          <w:color w:val="000000" w:themeColor="text1"/>
          <w14:textFill>
            <w14:solidFill>
              <w14:schemeClr w14:val="tx1"/>
            </w14:solidFill>
          </w14:textFill>
        </w:rPr>
      </w:pPr>
    </w:p>
    <w:p w14:paraId="0B44FE79">
      <w:pPr>
        <w:pStyle w:val="2"/>
        <w:rPr>
          <w:rFonts w:hint="eastAsia"/>
          <w:color w:val="000000" w:themeColor="text1"/>
          <w14:textFill>
            <w14:solidFill>
              <w14:schemeClr w14:val="tx1"/>
            </w14:solidFill>
          </w14:textFill>
        </w:rPr>
      </w:pPr>
    </w:p>
    <w:p w14:paraId="1D013830">
      <w:pPr>
        <w:pStyle w:val="2"/>
        <w:rPr>
          <w:rFonts w:hint="eastAsia"/>
          <w:color w:val="000000" w:themeColor="text1"/>
          <w14:textFill>
            <w14:solidFill>
              <w14:schemeClr w14:val="tx1"/>
            </w14:solidFill>
          </w14:textFill>
        </w:rPr>
      </w:pPr>
    </w:p>
    <w:p w14:paraId="77F2869C">
      <w:pPr>
        <w:pStyle w:val="2"/>
        <w:rPr>
          <w:rFonts w:hint="eastAsia"/>
          <w:color w:val="000000" w:themeColor="text1"/>
          <w14:textFill>
            <w14:solidFill>
              <w14:schemeClr w14:val="tx1"/>
            </w14:solidFill>
          </w14:textFill>
        </w:rPr>
      </w:pPr>
    </w:p>
    <w:p w14:paraId="6CF1B085">
      <w:pPr>
        <w:pStyle w:val="2"/>
        <w:rPr>
          <w:rFonts w:hint="eastAsia"/>
          <w:color w:val="000000" w:themeColor="text1"/>
          <w14:textFill>
            <w14:solidFill>
              <w14:schemeClr w14:val="tx1"/>
            </w14:solidFill>
          </w14:textFill>
        </w:rPr>
      </w:pPr>
    </w:p>
    <w:p w14:paraId="7AD49C62">
      <w:pPr>
        <w:pStyle w:val="2"/>
        <w:rPr>
          <w:rFonts w:hint="eastAsia"/>
          <w:color w:val="000000" w:themeColor="text1"/>
          <w14:textFill>
            <w14:solidFill>
              <w14:schemeClr w14:val="tx1"/>
            </w14:solidFill>
          </w14:textFill>
        </w:rPr>
      </w:pPr>
    </w:p>
    <w:p w14:paraId="27427E8E">
      <w:pPr>
        <w:pStyle w:val="2"/>
        <w:rPr>
          <w:rFonts w:hint="eastAsia"/>
          <w:color w:val="000000" w:themeColor="text1"/>
          <w14:textFill>
            <w14:solidFill>
              <w14:schemeClr w14:val="tx1"/>
            </w14:solidFill>
          </w14:textFill>
        </w:rPr>
      </w:pPr>
    </w:p>
    <w:p w14:paraId="12BD6C6C">
      <w:pPr>
        <w:pStyle w:val="2"/>
        <w:rPr>
          <w:rFonts w:hint="eastAsia"/>
          <w:color w:val="000000" w:themeColor="text1"/>
          <w14:textFill>
            <w14:solidFill>
              <w14:schemeClr w14:val="tx1"/>
            </w14:solidFill>
          </w14:textFill>
        </w:rPr>
      </w:pPr>
    </w:p>
    <w:p w14:paraId="0DD9D332">
      <w:pPr>
        <w:pStyle w:val="2"/>
        <w:rPr>
          <w:rFonts w:hint="eastAsia"/>
          <w:color w:val="000000" w:themeColor="text1"/>
          <w14:textFill>
            <w14:solidFill>
              <w14:schemeClr w14:val="tx1"/>
            </w14:solidFill>
          </w14:textFill>
        </w:rPr>
      </w:pPr>
    </w:p>
    <w:p w14:paraId="51E47CB6">
      <w:pPr>
        <w:pStyle w:val="2"/>
        <w:rPr>
          <w:rFonts w:hint="eastAsia"/>
          <w:color w:val="000000" w:themeColor="text1"/>
          <w14:textFill>
            <w14:solidFill>
              <w14:schemeClr w14:val="tx1"/>
            </w14:solidFill>
          </w14:textFill>
        </w:rPr>
      </w:pPr>
    </w:p>
    <w:p w14:paraId="45DCE07F">
      <w:pPr>
        <w:pStyle w:val="2"/>
        <w:rPr>
          <w:rFonts w:hint="eastAsia"/>
          <w:color w:val="000000" w:themeColor="text1"/>
          <w14:textFill>
            <w14:solidFill>
              <w14:schemeClr w14:val="tx1"/>
            </w14:solidFill>
          </w14:textFill>
        </w:rPr>
      </w:pPr>
    </w:p>
    <w:p w14:paraId="6152FDAD">
      <w:pPr>
        <w:pStyle w:val="2"/>
        <w:rPr>
          <w:rFonts w:hint="eastAsia"/>
          <w:color w:val="000000" w:themeColor="text1"/>
          <w14:textFill>
            <w14:solidFill>
              <w14:schemeClr w14:val="tx1"/>
            </w14:solidFill>
          </w14:textFill>
        </w:rPr>
      </w:pPr>
    </w:p>
    <w:p w14:paraId="07A2D003">
      <w:pPr>
        <w:pStyle w:val="2"/>
        <w:rPr>
          <w:rFonts w:hint="eastAsia"/>
          <w:color w:val="000000" w:themeColor="text1"/>
          <w14:textFill>
            <w14:solidFill>
              <w14:schemeClr w14:val="tx1"/>
            </w14:solidFill>
          </w14:textFill>
        </w:rPr>
      </w:pPr>
    </w:p>
    <w:p w14:paraId="767A292E">
      <w:pPr>
        <w:pStyle w:val="2"/>
        <w:rPr>
          <w:rFonts w:hint="eastAsia"/>
          <w:color w:val="000000" w:themeColor="text1"/>
          <w14:textFill>
            <w14:solidFill>
              <w14:schemeClr w14:val="tx1"/>
            </w14:solidFill>
          </w14:textFill>
        </w:rPr>
      </w:pPr>
    </w:p>
    <w:p w14:paraId="6B2B5047">
      <w:pPr>
        <w:pStyle w:val="2"/>
        <w:rPr>
          <w:rFonts w:hint="eastAsia"/>
          <w:color w:val="000000" w:themeColor="text1"/>
          <w14:textFill>
            <w14:solidFill>
              <w14:schemeClr w14:val="tx1"/>
            </w14:solidFill>
          </w14:textFill>
        </w:rPr>
      </w:pPr>
    </w:p>
    <w:p w14:paraId="5A80BBD4">
      <w:pPr>
        <w:pStyle w:val="2"/>
        <w:rPr>
          <w:rFonts w:hint="eastAsia"/>
          <w:color w:val="000000" w:themeColor="text1"/>
          <w14:textFill>
            <w14:solidFill>
              <w14:schemeClr w14:val="tx1"/>
            </w14:solidFill>
          </w14:textFill>
        </w:rPr>
      </w:pPr>
    </w:p>
    <w:p w14:paraId="278B8BFB">
      <w:pPr>
        <w:pStyle w:val="2"/>
        <w:rPr>
          <w:rFonts w:hint="eastAsia"/>
          <w:color w:val="000000" w:themeColor="text1"/>
          <w14:textFill>
            <w14:solidFill>
              <w14:schemeClr w14:val="tx1"/>
            </w14:solidFill>
          </w14:textFill>
        </w:rPr>
      </w:pPr>
    </w:p>
    <w:p w14:paraId="6BC05B32">
      <w:pPr>
        <w:pStyle w:val="2"/>
        <w:rPr>
          <w:rFonts w:hint="eastAsia"/>
          <w:color w:val="000000" w:themeColor="text1"/>
          <w14:textFill>
            <w14:solidFill>
              <w14:schemeClr w14:val="tx1"/>
            </w14:solidFill>
          </w14:textFill>
        </w:rPr>
      </w:pPr>
    </w:p>
    <w:p w14:paraId="47E879FB">
      <w:pPr>
        <w:pStyle w:val="2"/>
        <w:rPr>
          <w:rFonts w:hint="eastAsia"/>
          <w:color w:val="000000" w:themeColor="text1"/>
          <w14:textFill>
            <w14:solidFill>
              <w14:schemeClr w14:val="tx1"/>
            </w14:solidFill>
          </w14:textFill>
        </w:rPr>
      </w:pPr>
    </w:p>
    <w:p w14:paraId="509E7A78">
      <w:pPr>
        <w:pStyle w:val="2"/>
        <w:rPr>
          <w:rFonts w:hint="eastAsia"/>
          <w:color w:val="000000" w:themeColor="text1"/>
          <w14:textFill>
            <w14:solidFill>
              <w14:schemeClr w14:val="tx1"/>
            </w14:solidFill>
          </w14:textFill>
        </w:rPr>
      </w:pPr>
    </w:p>
    <w:p w14:paraId="5B7E6526">
      <w:pPr>
        <w:pStyle w:val="2"/>
        <w:rPr>
          <w:rFonts w:hint="eastAsia"/>
          <w:color w:val="000000" w:themeColor="text1"/>
          <w14:textFill>
            <w14:solidFill>
              <w14:schemeClr w14:val="tx1"/>
            </w14:solidFill>
          </w14:textFill>
        </w:rPr>
      </w:pPr>
    </w:p>
    <w:p w14:paraId="13FBECBF">
      <w:pPr>
        <w:pStyle w:val="2"/>
        <w:rPr>
          <w:rFonts w:hint="eastAsia"/>
          <w:color w:val="000000" w:themeColor="text1"/>
          <w14:textFill>
            <w14:solidFill>
              <w14:schemeClr w14:val="tx1"/>
            </w14:solidFill>
          </w14:textFill>
        </w:rPr>
      </w:pPr>
    </w:p>
    <w:p w14:paraId="3D7C2153">
      <w:pPr>
        <w:pStyle w:val="2"/>
        <w:rPr>
          <w:rFonts w:hint="eastAsia"/>
          <w:color w:val="000000" w:themeColor="text1"/>
          <w14:textFill>
            <w14:solidFill>
              <w14:schemeClr w14:val="tx1"/>
            </w14:solidFill>
          </w14:textFill>
        </w:rPr>
      </w:pPr>
    </w:p>
    <w:p w14:paraId="63599C62">
      <w:pPr>
        <w:pStyle w:val="2"/>
        <w:rPr>
          <w:rFonts w:hint="eastAsia"/>
          <w:color w:val="000000" w:themeColor="text1"/>
          <w14:textFill>
            <w14:solidFill>
              <w14:schemeClr w14:val="tx1"/>
            </w14:solidFill>
          </w14:textFill>
        </w:rPr>
      </w:pPr>
    </w:p>
    <w:p w14:paraId="3259B1D4">
      <w:pPr>
        <w:pStyle w:val="2"/>
        <w:rPr>
          <w:rFonts w:hint="eastAsia"/>
          <w:color w:val="000000" w:themeColor="text1"/>
          <w14:textFill>
            <w14:solidFill>
              <w14:schemeClr w14:val="tx1"/>
            </w14:solidFill>
          </w14:textFill>
        </w:rPr>
      </w:pPr>
    </w:p>
    <w:p w14:paraId="70C203B2">
      <w:pPr>
        <w:pStyle w:val="2"/>
        <w:rPr>
          <w:rFonts w:hint="eastAsia"/>
          <w:color w:val="000000" w:themeColor="text1"/>
          <w14:textFill>
            <w14:solidFill>
              <w14:schemeClr w14:val="tx1"/>
            </w14:solidFill>
          </w14:textFill>
        </w:rPr>
      </w:pPr>
    </w:p>
    <w:p w14:paraId="6EED6938">
      <w:pPr>
        <w:pStyle w:val="2"/>
        <w:rPr>
          <w:rFonts w:hint="eastAsia"/>
          <w:color w:val="000000" w:themeColor="text1"/>
          <w14:textFill>
            <w14:solidFill>
              <w14:schemeClr w14:val="tx1"/>
            </w14:solidFill>
          </w14:textFill>
        </w:rPr>
      </w:pPr>
    </w:p>
    <w:p w14:paraId="73A8B3B5">
      <w:pPr>
        <w:pStyle w:val="2"/>
        <w:rPr>
          <w:rFonts w:hint="eastAsia"/>
          <w:color w:val="000000" w:themeColor="text1"/>
          <w14:textFill>
            <w14:solidFill>
              <w14:schemeClr w14:val="tx1"/>
            </w14:solidFill>
          </w14:textFill>
        </w:rPr>
      </w:pPr>
    </w:p>
    <w:p w14:paraId="4722C46A">
      <w:pPr>
        <w:rPr>
          <w:rFonts w:hint="eastAsia"/>
          <w:color w:val="000000" w:themeColor="text1"/>
          <w14:textFill>
            <w14:solidFill>
              <w14:schemeClr w14:val="tx1"/>
            </w14:solidFill>
          </w14:textFill>
        </w:rPr>
      </w:pPr>
    </w:p>
    <w:p w14:paraId="424D883C">
      <w:pPr>
        <w:keepNext w:val="0"/>
        <w:keepLines w:val="0"/>
        <w:pageBreakBefore w:val="0"/>
        <w:widowControl w:val="0"/>
        <w:tabs>
          <w:tab w:val="left" w:pos="7308"/>
        </w:tabs>
        <w:kinsoku/>
        <w:overflowPunct/>
        <w:topLinePunct w:val="0"/>
        <w:autoSpaceDE/>
        <w:autoSpaceDN/>
        <w:bidi w:val="0"/>
        <w:adjustRightInd/>
        <w:snapToGrid/>
        <w:spacing w:line="570" w:lineRule="exact"/>
        <w:ind w:left="1601" w:leftChars="229" w:hanging="1120" w:hangingChars="400"/>
        <w:textAlignment w:val="auto"/>
        <w:rPr>
          <w:rFonts w:hint="eastAsia" w:ascii="方正仿宋_GBK" w:hAnsi="方正仿宋_GBK" w:eastAsia="方正仿宋_GBK" w:cs="方正仿宋_GBK"/>
          <w:color w:val="000000" w:themeColor="text1"/>
          <w:spacing w:val="0"/>
          <w:sz w:val="28"/>
          <w:szCs w:val="28"/>
          <w14:textFill>
            <w14:solidFill>
              <w14:schemeClr w14:val="tx1"/>
            </w14:solidFill>
          </w14:textFill>
        </w:rPr>
      </w:pPr>
      <w:r>
        <w:rPr>
          <w:rFonts w:hint="eastAsia" w:ascii="方正仿宋_GBK" w:hAnsi="方正仿宋_GBK" w:eastAsia="方正仿宋_GBK" w:cs="方正仿宋_GBK"/>
          <w:color w:val="000000" w:themeColor="text1"/>
          <w:spacing w:val="0"/>
          <w:sz w:val="28"/>
          <w:szCs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70485</wp:posOffset>
                </wp:positionH>
                <wp:positionV relativeFrom="paragraph">
                  <wp:posOffset>5715</wp:posOffset>
                </wp:positionV>
                <wp:extent cx="538607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38607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55pt;margin-top:0.45pt;height:0pt;width:424.1pt;z-index:251662336;mso-width-relative:page;mso-height-relative:page;" filled="f" stroked="t" coordsize="21600,21600" o:gfxdata="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btv2dIAAAAEAQAADwAAAAAAAAABACAAAAAiAAAAZHJzL2Rvd25yZXYueG1sUEsBAhQAFAAA&#10;AAgAh07iQJqVSfP1AQAA5AMAAA4AAAAAAAAAAQAgAAAAIQEAAGRycy9lMm9Eb2MueG1sUEsFBgAA&#10;AAAGAAYAWQEAAIg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themeColor="text1"/>
          <w:spacing w:val="0"/>
          <w:sz w:val="28"/>
          <w:szCs w:val="28"/>
          <w14:textFill>
            <w14:solidFill>
              <w14:schemeClr w14:val="tx1"/>
            </w14:solidFill>
          </w14:textFill>
        </w:rPr>
        <w:t>抄送：县委、县纪委、县人大、县政协、县人武部、县委各部门、</w:t>
      </w:r>
    </w:p>
    <w:p w14:paraId="427076C7">
      <w:pPr>
        <w:keepNext w:val="0"/>
        <w:keepLines w:val="0"/>
        <w:pageBreakBefore w:val="0"/>
        <w:widowControl w:val="0"/>
        <w:tabs>
          <w:tab w:val="left" w:pos="7308"/>
        </w:tabs>
        <w:kinsoku/>
        <w:overflowPunct/>
        <w:topLinePunct w:val="0"/>
        <w:autoSpaceDE/>
        <w:autoSpaceDN/>
        <w:bidi w:val="0"/>
        <w:adjustRightInd/>
        <w:snapToGrid/>
        <w:spacing w:line="570" w:lineRule="exact"/>
        <w:ind w:left="1599" w:leftChars="628" w:hanging="280" w:hangingChars="100"/>
        <w:textAlignment w:val="auto"/>
        <w:rPr>
          <w:rFonts w:hint="eastAsia" w:ascii="方正仿宋_GBK" w:hAnsi="方正仿宋_GBK" w:eastAsia="方正仿宋_GBK" w:cs="方正仿宋_GBK"/>
          <w:color w:val="000000" w:themeColor="text1"/>
          <w:spacing w:val="0"/>
          <w:sz w:val="28"/>
          <w:szCs w:val="28"/>
          <w14:textFill>
            <w14:solidFill>
              <w14:schemeClr w14:val="tx1"/>
            </w14:solidFill>
          </w14:textFill>
        </w:rPr>
      </w:pPr>
      <w:r>
        <w:rPr>
          <w:rFonts w:hint="eastAsia" w:ascii="方正仿宋_GBK" w:hAnsi="方正仿宋_GBK" w:eastAsia="方正仿宋_GBK" w:cs="方正仿宋_GBK"/>
          <w:color w:val="000000" w:themeColor="text1"/>
          <w:spacing w:val="0"/>
          <w:sz w:val="28"/>
          <w:szCs w:val="28"/>
          <w14:textFill>
            <w14:solidFill>
              <w14:schemeClr w14:val="tx1"/>
            </w14:solidFill>
          </w14:textFill>
        </w:rPr>
        <w:t>县法院、县检察院、群众团体、新闻单位</w:t>
      </w:r>
    </w:p>
    <w:p w14:paraId="360B3431">
      <w:pPr>
        <w:keepNext w:val="0"/>
        <w:keepLines w:val="0"/>
        <w:pageBreakBefore w:val="0"/>
        <w:widowControl w:val="0"/>
        <w:tabs>
          <w:tab w:val="left" w:pos="7308"/>
        </w:tabs>
        <w:kinsoku/>
        <w:overflowPunct/>
        <w:topLinePunct w:val="0"/>
        <w:autoSpaceDE/>
        <w:autoSpaceDN/>
        <w:bidi w:val="0"/>
        <w:adjustRightInd/>
        <w:snapToGrid/>
        <w:spacing w:line="570" w:lineRule="exact"/>
        <w:ind w:firstLine="420" w:firstLineChars="150"/>
        <w:textAlignment w:val="auto"/>
        <w:rPr>
          <w:rFonts w:hint="eastAsia" w:ascii="方正仿宋_GBK" w:hAnsi="方正仿宋_GBK" w:eastAsia="方正仿宋_GBK" w:cs="方正仿宋_GBK"/>
          <w:color w:val="000000" w:themeColor="text1"/>
          <w:spacing w:val="0"/>
          <w:sz w:val="28"/>
          <w:szCs w:val="28"/>
          <w14:textFill>
            <w14:solidFill>
              <w14:schemeClr w14:val="tx1"/>
            </w14:solidFill>
          </w14:textFill>
        </w:rPr>
      </w:pPr>
      <w:r>
        <w:rPr>
          <w:rFonts w:hint="eastAsia" w:ascii="方正仿宋_GBK" w:hAnsi="方正仿宋_GBK" w:eastAsia="方正仿宋_GBK" w:cs="方正仿宋_GBK"/>
          <w:color w:val="000000" w:themeColor="text1"/>
          <w:spacing w:val="0"/>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31750</wp:posOffset>
                </wp:positionV>
                <wp:extent cx="542671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42671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pt;margin-top:2.5pt;height:0pt;width:427.3pt;z-index:251661312;mso-width-relative:page;mso-height-relative:page;" filled="f" stroked="t" coordsize="21600,21600" o:gfxdata="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0r3TnUAAAABQEAAA8AAAAAAAAAAQAgAAAAIgAAAGRycy9kb3ducmV2LnhtbFBLAQIUABQA&#10;AAAIAIdO4kAScaPt9AEAAOQDAAAOAAAAAAAAAAEAIAAAACMBAABkcnMvZTJvRG9jLnhtbFBLBQYA&#10;AAAABgAGAFkBAACJBQ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themeColor="text1"/>
          <w:spacing w:val="0"/>
          <w:sz w:val="28"/>
          <w:szCs w:val="28"/>
          <w14:textFill>
            <w14:solidFill>
              <w14:schemeClr w14:val="tx1"/>
            </w14:solidFill>
          </w14:textFill>
        </w:rPr>
        <w:t xml:space="preserve">浮梁县人民政府办公室         </w:t>
      </w:r>
      <w:r>
        <w:rPr>
          <w:rFonts w:hint="eastAsia" w:ascii="方正仿宋_GBK" w:hAnsi="方正仿宋_GBK" w:eastAsia="方正仿宋_GBK" w:cs="方正仿宋_GBK"/>
          <w:color w:val="000000" w:themeColor="text1"/>
          <w:spacing w:val="0"/>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pacing w:val="0"/>
          <w:sz w:val="28"/>
          <w:szCs w:val="28"/>
          <w14:textFill>
            <w14:solidFill>
              <w14:schemeClr w14:val="tx1"/>
            </w14:solidFill>
          </w14:textFill>
        </w:rPr>
        <w:t xml:space="preserve"> 20</w:t>
      </w:r>
      <w:r>
        <w:rPr>
          <w:rFonts w:hint="eastAsia" w:ascii="方正仿宋_GBK" w:hAnsi="方正仿宋_GBK" w:eastAsia="方正仿宋_GBK" w:cs="方正仿宋_GBK"/>
          <w:color w:val="000000" w:themeColor="text1"/>
          <w:spacing w:val="0"/>
          <w:sz w:val="28"/>
          <w:szCs w:val="28"/>
          <w:lang w:val="en-US" w:eastAsia="zh-CN"/>
          <w14:textFill>
            <w14:solidFill>
              <w14:schemeClr w14:val="tx1"/>
            </w14:solidFill>
          </w14:textFill>
        </w:rPr>
        <w:t>24</w:t>
      </w:r>
      <w:r>
        <w:rPr>
          <w:rFonts w:hint="eastAsia" w:ascii="方正仿宋_GBK" w:hAnsi="方正仿宋_GBK" w:eastAsia="方正仿宋_GBK" w:cs="方正仿宋_GBK"/>
          <w:color w:val="000000" w:themeColor="text1"/>
          <w:spacing w:val="0"/>
          <w:sz w:val="28"/>
          <w:szCs w:val="28"/>
          <w14:textFill>
            <w14:solidFill>
              <w14:schemeClr w14:val="tx1"/>
            </w14:solidFill>
          </w14:textFill>
        </w:rPr>
        <w:t>年</w:t>
      </w:r>
      <w:r>
        <w:rPr>
          <w:rFonts w:hint="eastAsia" w:ascii="方正仿宋_GBK" w:hAnsi="方正仿宋_GBK" w:eastAsia="方正仿宋_GBK" w:cs="方正仿宋_GBK"/>
          <w:color w:val="000000" w:themeColor="text1"/>
          <w:spacing w:val="0"/>
          <w:sz w:val="28"/>
          <w:szCs w:val="28"/>
          <w:lang w:val="en-US" w:eastAsia="zh-CN"/>
          <w14:textFill>
            <w14:solidFill>
              <w14:schemeClr w14:val="tx1"/>
            </w14:solidFill>
          </w14:textFill>
        </w:rPr>
        <w:t>9</w:t>
      </w:r>
      <w:r>
        <w:rPr>
          <w:rFonts w:hint="eastAsia" w:ascii="方正仿宋_GBK" w:hAnsi="方正仿宋_GBK" w:eastAsia="方正仿宋_GBK" w:cs="方正仿宋_GBK"/>
          <w:color w:val="000000" w:themeColor="text1"/>
          <w:spacing w:val="0"/>
          <w:sz w:val="28"/>
          <w:szCs w:val="28"/>
          <w14:textFill>
            <w14:solidFill>
              <w14:schemeClr w14:val="tx1"/>
            </w14:solidFill>
          </w14:textFill>
        </w:rPr>
        <w:t>月</w:t>
      </w:r>
      <w:r>
        <w:rPr>
          <w:rFonts w:hint="eastAsia" w:ascii="方正仿宋_GBK" w:hAnsi="方正仿宋_GBK" w:eastAsia="方正仿宋_GBK" w:cs="方正仿宋_GBK"/>
          <w:color w:val="000000" w:themeColor="text1"/>
          <w:spacing w:val="0"/>
          <w:sz w:val="28"/>
          <w:szCs w:val="28"/>
          <w:lang w:val="en-US" w:eastAsia="zh-CN"/>
          <w14:textFill>
            <w14:solidFill>
              <w14:schemeClr w14:val="tx1"/>
            </w14:solidFill>
          </w14:textFill>
        </w:rPr>
        <w:t>27</w:t>
      </w:r>
      <w:r>
        <w:rPr>
          <w:rFonts w:hint="eastAsia" w:ascii="方正仿宋_GBK" w:hAnsi="方正仿宋_GBK" w:eastAsia="方正仿宋_GBK" w:cs="方正仿宋_GBK"/>
          <w:color w:val="000000" w:themeColor="text1"/>
          <w:spacing w:val="0"/>
          <w:sz w:val="28"/>
          <w:szCs w:val="28"/>
          <w14:textFill>
            <w14:solidFill>
              <w14:schemeClr w14:val="tx1"/>
            </w14:solidFill>
          </w14:textFill>
        </w:rPr>
        <w:t>日印发</w:t>
      </w:r>
    </w:p>
    <w:p w14:paraId="6F696946">
      <w:pPr>
        <w:keepNext w:val="0"/>
        <w:keepLines w:val="0"/>
        <w:pageBreakBefore w:val="0"/>
        <w:widowControl w:val="0"/>
        <w:tabs>
          <w:tab w:val="left" w:pos="8323"/>
        </w:tabs>
        <w:kinsoku/>
        <w:wordWrap w:val="0"/>
        <w:overflowPunct/>
        <w:topLinePunct w:val="0"/>
        <w:autoSpaceDE/>
        <w:autoSpaceDN/>
        <w:bidi w:val="0"/>
        <w:adjustRightInd/>
        <w:snapToGrid/>
        <w:spacing w:line="40" w:lineRule="exact"/>
        <w:jc w:val="right"/>
        <w:textAlignment w:val="auto"/>
        <w:rPr>
          <w:rFonts w:hint="eastAsia" w:eastAsia="仿宋_GB2312"/>
          <w:color w:val="000000" w:themeColor="text1"/>
          <w:spacing w:val="0"/>
          <w:sz w:val="32"/>
          <w:szCs w:val="32"/>
          <w14:textFill>
            <w14:solidFill>
              <w14:schemeClr w14:val="tx1"/>
            </w14:solidFill>
          </w14:textFill>
        </w:rPr>
      </w:pPr>
      <w:r>
        <w:rPr>
          <w:rFonts w:eastAsia="仿宋_GB2312"/>
          <w:color w:val="000000" w:themeColor="text1"/>
          <w:spacing w:val="0"/>
          <w:sz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37465</wp:posOffset>
                </wp:positionV>
                <wp:extent cx="545909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4590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15pt;margin-top:2.95pt;height:0pt;width:429.85pt;z-index:251660288;mso-width-relative:page;mso-height-relative:page;" filled="f" stroked="t" coordsize="21600,21600" o:gfxdata="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1bpdPTAAAABQEAAA8AAAAAAAAAAQAgAAAAIgAAAGRycy9kb3ducmV2LnhtbFBLAQIUABQA&#10;AAAIAIdO4kCoggL49QEAAOQDAAAOAAAAAAAAAAEAIAAAACIBAABkcnMvZTJvRG9jLnhtbFBLBQYA&#10;AAAABgAGAFkBAACJBQAAAAA=&#10;">
                <v:fill on="f" focussize="0,0"/>
                <v:stroke color="#000000" joinstyle="round"/>
                <v:imagedata o:title=""/>
                <o:lock v:ext="edit" aspectratio="f"/>
              </v:line>
            </w:pict>
          </mc:Fallback>
        </mc:AlternateContent>
      </w:r>
      <w:r>
        <w:rPr>
          <w:rFonts w:eastAsia="仿宋_GB2312"/>
          <w:color w:val="000000" w:themeColor="text1"/>
          <w:spacing w:val="0"/>
          <w:sz w:val="32"/>
          <w14:textFill>
            <w14:solidFill>
              <w14:schemeClr w14:val="tx1"/>
            </w14:solidFill>
          </w14:textFill>
        </w:rPr>
        <w:t xml:space="preserve"> </w:t>
      </w:r>
    </w:p>
    <w:p w14:paraId="2F3DA453">
      <w:pPr>
        <w:keepNext w:val="0"/>
        <w:keepLines w:val="0"/>
        <w:pageBreakBefore w:val="0"/>
        <w:widowControl w:val="0"/>
        <w:tabs>
          <w:tab w:val="left" w:pos="8323"/>
        </w:tabs>
        <w:kinsoku/>
        <w:wordWrap w:val="0"/>
        <w:overflowPunct/>
        <w:topLinePunct w:val="0"/>
        <w:autoSpaceDE/>
        <w:autoSpaceDN/>
        <w:bidi w:val="0"/>
        <w:adjustRightInd/>
        <w:snapToGrid/>
        <w:spacing w:line="40" w:lineRule="exact"/>
        <w:jc w:val="right"/>
        <w:textAlignment w:val="auto"/>
        <w:rPr>
          <w:rFonts w:hint="eastAsia" w:eastAsia="仿宋_GB2312"/>
          <w:color w:val="000000" w:themeColor="text1"/>
          <w:spacing w:val="0"/>
          <w:sz w:val="32"/>
          <w:szCs w:val="32"/>
          <w14:textFill>
            <w14:solidFill>
              <w14:schemeClr w14:val="tx1"/>
            </w14:solidFill>
          </w14:textFill>
        </w:rPr>
      </w:pPr>
      <w:r>
        <w:rPr>
          <w:rFonts w:eastAsia="仿宋_GB2312"/>
          <w:color w:val="000000" w:themeColor="text1"/>
          <w:spacing w:val="0"/>
          <w:sz w:val="32"/>
          <w14:textFill>
            <w14:solidFill>
              <w14:schemeClr w14:val="tx1"/>
            </w14:solidFill>
          </w14:textFill>
        </w:rPr>
        <w:t xml:space="preserve"> </w:t>
      </w:r>
    </w:p>
    <w:p w14:paraId="696BABD7">
      <w:pPr>
        <w:rPr>
          <w:color w:val="000000" w:themeColor="text1"/>
          <w14:textFill>
            <w14:solidFill>
              <w14:schemeClr w14:val="tx1"/>
            </w14:solidFill>
          </w14:textFill>
        </w:rPr>
      </w:pPr>
    </w:p>
    <w:sectPr>
      <w:headerReference r:id="rId9" w:type="default"/>
      <w:footerReference r:id="rId10" w:type="default"/>
      <w:pgSz w:w="11900" w:h="16840"/>
      <w:pgMar w:top="2098" w:right="1587" w:bottom="1984" w:left="1587" w:header="850" w:footer="1701" w:gutter="0"/>
      <w:pgNumType w:fmt="decimal"/>
      <w:cols w:space="720" w:num="1"/>
      <w:rtlGutter w:val="0"/>
      <w:docGrid w:linePitch="31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83C5D">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59BB8B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14:paraId="659BB8B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6C631">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CFAC31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7CFAC31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CEAC6">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C350FD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8pZNZ0QEAAKIDAAAOAAAAAAAAAAEAIAAAAB8BAABk&#10;cnMvZTJvRG9jLnhtbFBLBQYAAAAABgAGAFkBAABiBQAAAAA=&#10;">
              <v:fill on="f" focussize="0,0"/>
              <v:stroke on="f" weight="0.5pt"/>
              <v:imagedata o:title=""/>
              <o:lock v:ext="edit" aspectratio="f"/>
              <v:textbox inset="0mm,0mm,0mm,0mm" style="mso-fit-shape-to-text:t;">
                <w:txbxContent>
                  <w:p w14:paraId="5C350FD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4051C">
    <w:pPr>
      <w:pStyle w:val="3"/>
      <w:jc w:val="center"/>
      <w:rPr>
        <w:rFonts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7F8F1DB">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5hSHRAQAAogMAAA4AAABkcnMvZTJvRG9jLnhtbK1TzY7TMBC+I/EO&#10;lu802bK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rrM8fYAGs+4D5qXhnR9waeZ7wMvMelDR5i/yIRhHcU8XceWQiMiPVsvVqsaQwNjsIH71+DxESO+l&#10;tyQbjEacXhGVHz9CGlPnlFzN+TttTJmgcaRn9Ob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eYUh0QEAAKIDAAAOAAAAAAAAAAEAIAAAAB8BAABk&#10;cnMvZTJvRG9jLnhtbFBLBQYAAAAABgAGAFkBAABiBQAAAAA=&#10;">
              <v:fill on="f" focussize="0,0"/>
              <v:stroke on="f" weight="0.5pt"/>
              <v:imagedata o:title=""/>
              <o:lock v:ext="edit" aspectratio="f"/>
              <v:textbox inset="0mm,0mm,0mm,0mm" style="mso-fit-shape-to-text:t;">
                <w:txbxContent>
                  <w:p w14:paraId="17F8F1DB">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2ABD9E2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9D81">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5AD7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AFDF2">
    <w:pPr>
      <w:spacing w:line="240" w:lineRule="auto"/>
      <w:ind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DA1ED">
    <w:pPr>
      <w:pStyle w:val="4"/>
      <w:pBdr>
        <w:bottom w:val="none" w:color="auto" w:sz="0" w:space="1"/>
      </w:pBdr>
      <w:rPr>
        <w:rFonts w:ascii="仿宋_GB2312"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MTM4ZDg4NTQxOGI5MzM1ZTNiNzdlYTA4MzdkNmIifQ=="/>
  </w:docVars>
  <w:rsids>
    <w:rsidRoot w:val="3B7A0E2F"/>
    <w:rsid w:val="00603D39"/>
    <w:rsid w:val="08C57AF1"/>
    <w:rsid w:val="0A6749FB"/>
    <w:rsid w:val="16CD208A"/>
    <w:rsid w:val="271D6716"/>
    <w:rsid w:val="28175856"/>
    <w:rsid w:val="29B64C00"/>
    <w:rsid w:val="3B7A0E2F"/>
    <w:rsid w:val="3D5B18EE"/>
    <w:rsid w:val="4B3E34EA"/>
    <w:rsid w:val="51586419"/>
    <w:rsid w:val="6AF24D91"/>
    <w:rsid w:val="72C45265"/>
    <w:rsid w:val="794B2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4458</Words>
  <Characters>4534</Characters>
  <Lines>0</Lines>
  <Paragraphs>0</Paragraphs>
  <TotalTime>4</TotalTime>
  <ScaleCrop>false</ScaleCrop>
  <LinksUpToDate>false</LinksUpToDate>
  <CharactersWithSpaces>4752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2024-10-23T01:30:00Z</dcterms:created>
  <dc:creator>Administrator</dc:creator>
  <cp:lastModifiedBy>水到渠成</cp:lastModifiedBy>
  <cp:lastPrinted>2024-10-23T02:35:05Z</cp:lastPrinted>
  <dcterms:modified xsi:type="dcterms:W3CDTF">2024-10-23T09:41:53Z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492B4AB9743E42F1ADE277BA5138AE54_13</vt:lpwstr>
  </property>
</Properties>
</file>