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color w:val="000000"/>
          <w:spacing w:val="0"/>
          <w:w w:val="100"/>
          <w:sz w:val="32"/>
        </w:rPr>
      </w:pPr>
    </w:p>
    <w:p>
      <w:pPr>
        <w:tabs>
          <w:tab w:val="left" w:pos="5709"/>
        </w:tabs>
        <w:spacing w:line="580" w:lineRule="exact"/>
        <w:rPr>
          <w:rFonts w:hint="eastAsia" w:ascii="仿宋" w:hAnsi="仿宋" w:eastAsia="仿宋" w:cs="仿宋"/>
          <w:sz w:val="32"/>
          <w:szCs w:val="32"/>
        </w:rPr>
      </w:pPr>
      <w:r>
        <w:rPr>
          <w:rFonts w:hint="eastAsia"/>
          <w:color w:val="000000"/>
          <w:spacing w:val="0"/>
          <w:w w:val="100"/>
          <w:sz w:val="32"/>
          <w:lang w:eastAsia="zh-CN"/>
        </w:rPr>
        <w:tab/>
      </w:r>
      <w:bookmarkStart w:id="54" w:name="_GoBack"/>
      <w:bookmarkEnd w:id="54"/>
    </w:p>
    <w:p>
      <w:pPr>
        <w:spacing w:line="540" w:lineRule="exact"/>
        <w:jc w:val="center"/>
        <w:rPr>
          <w:rFonts w:ascii="黑体" w:hAnsi="黑体" w:eastAsia="黑体" w:cs="Times New Roman"/>
          <w:sz w:val="48"/>
          <w:szCs w:val="48"/>
        </w:rPr>
      </w:pPr>
    </w:p>
    <w:p>
      <w:pPr>
        <w:spacing w:line="540" w:lineRule="exact"/>
        <w:jc w:val="center"/>
        <w:rPr>
          <w:rFonts w:hint="eastAsia" w:ascii="黑体" w:hAnsi="黑体" w:eastAsia="黑体" w:cs="Times New Roman"/>
          <w:sz w:val="48"/>
          <w:szCs w:val="48"/>
        </w:rPr>
      </w:pPr>
    </w:p>
    <w:p>
      <w:pPr>
        <w:spacing w:line="540" w:lineRule="exact"/>
        <w:jc w:val="center"/>
        <w:rPr>
          <w:rFonts w:ascii="黑体" w:hAnsi="黑体" w:eastAsia="黑体" w:cs="Times New Roman"/>
          <w:sz w:val="48"/>
          <w:szCs w:val="48"/>
        </w:rPr>
      </w:pPr>
      <w:r>
        <w:rPr>
          <w:rFonts w:hint="eastAsia" w:ascii="黑体" w:hAnsi="黑体" w:eastAsia="黑体" w:cs="Times New Roman"/>
          <w:sz w:val="48"/>
          <w:szCs w:val="48"/>
        </w:rPr>
        <w:t>景德镇国家陶瓷文化传承创新试验区</w:t>
      </w:r>
    </w:p>
    <w:p>
      <w:pPr>
        <w:spacing w:line="540" w:lineRule="exact"/>
        <w:jc w:val="center"/>
        <w:rPr>
          <w:rFonts w:ascii="黑体" w:hAnsi="黑体" w:eastAsia="黑体" w:cs="Times New Roman"/>
          <w:sz w:val="48"/>
          <w:szCs w:val="48"/>
        </w:rPr>
      </w:pPr>
      <w:r>
        <w:rPr>
          <w:rFonts w:hint="eastAsia" w:ascii="黑体" w:hAnsi="黑体" w:eastAsia="黑体" w:cs="Times New Roman"/>
          <w:sz w:val="48"/>
          <w:szCs w:val="48"/>
        </w:rPr>
        <w:t>新平先行区产业发展规划</w:t>
      </w:r>
    </w:p>
    <w:p>
      <w:pPr>
        <w:spacing w:line="540" w:lineRule="exact"/>
        <w:jc w:val="center"/>
        <w:rPr>
          <w:rFonts w:ascii="Times New Roman" w:hAnsi="Times New Roman" w:eastAsia="华文中宋" w:cs="Times New Roman"/>
          <w:sz w:val="52"/>
          <w:szCs w:val="52"/>
        </w:rPr>
      </w:pPr>
      <w:r>
        <w:rPr>
          <w:rFonts w:hint="eastAsia" w:ascii="Times New Roman" w:hAnsi="Times New Roman" w:eastAsia="华文中宋" w:cs="Times New Roman"/>
          <w:sz w:val="52"/>
          <w:szCs w:val="52"/>
        </w:rPr>
        <w:t>（2023～2030年）</w:t>
      </w:r>
    </w:p>
    <w:p>
      <w:pPr>
        <w:rPr>
          <w:rFonts w:ascii="Times New Roman" w:hAnsi="Times New Roman" w:eastAsia="华文中宋" w:cs="Times New Roman"/>
          <w:sz w:val="52"/>
          <w:szCs w:val="52"/>
        </w:rPr>
      </w:pPr>
    </w:p>
    <w:p>
      <w:pPr>
        <w:pStyle w:val="7"/>
        <w:rPr>
          <w:rFonts w:hint="default" w:ascii="Times New Roman" w:hAnsi="Times New Roman" w:eastAsia="华文中宋" w:cs="Times New Roman"/>
          <w:sz w:val="52"/>
          <w:szCs w:val="52"/>
          <w:lang w:eastAsia="zh-CN"/>
        </w:rPr>
      </w:pPr>
    </w:p>
    <w:p>
      <w:pPr>
        <w:pStyle w:val="8"/>
        <w:rPr>
          <w:rFonts w:ascii="Times New Roman" w:hAnsi="Times New Roman" w:eastAsia="华文中宋" w:cs="Times New Roman"/>
          <w:sz w:val="52"/>
          <w:szCs w:val="52"/>
        </w:rPr>
      </w:pPr>
    </w:p>
    <w:p>
      <w:pPr>
        <w:pStyle w:val="9"/>
        <w:ind w:firstLine="1040"/>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pStyle w:val="7"/>
        <w:rPr>
          <w:rFonts w:hint="default" w:ascii="Times New Roman" w:hAnsi="Times New Roman" w:eastAsia="华文中宋" w:cs="Times New Roman"/>
          <w:sz w:val="52"/>
          <w:szCs w:val="52"/>
          <w:lang w:eastAsia="zh-CN"/>
        </w:rPr>
      </w:pPr>
    </w:p>
    <w:p>
      <w:pPr>
        <w:pStyle w:val="8"/>
        <w:rPr>
          <w:rFonts w:hint="default" w:ascii="Times New Roman" w:hAnsi="Times New Roman" w:eastAsia="华文中宋" w:cs="Times New Roman"/>
          <w:sz w:val="52"/>
          <w:szCs w:val="52"/>
          <w:lang w:eastAsia="zh-CN"/>
        </w:rPr>
      </w:pPr>
    </w:p>
    <w:p>
      <w:pPr>
        <w:pStyle w:val="9"/>
        <w:rPr>
          <w:rFonts w:hint="default"/>
          <w:lang w:eastAsia="zh-CN"/>
        </w:rPr>
      </w:pPr>
    </w:p>
    <w:p>
      <w:pPr>
        <w:pStyle w:val="8"/>
        <w:rPr>
          <w:rFonts w:ascii="Times New Roman" w:hAnsi="Times New Roman" w:eastAsia="华文中宋" w:cs="Times New Roman"/>
          <w:sz w:val="52"/>
          <w:szCs w:val="52"/>
        </w:rPr>
      </w:pPr>
    </w:p>
    <w:p>
      <w:pPr>
        <w:pStyle w:val="9"/>
        <w:ind w:firstLine="1040"/>
        <w:rPr>
          <w:rFonts w:ascii="Times New Roman" w:hAnsi="Times New Roman" w:eastAsia="华文中宋" w:cs="Times New Roman"/>
          <w:sz w:val="52"/>
          <w:szCs w:val="52"/>
        </w:rPr>
      </w:pPr>
    </w:p>
    <w:p>
      <w:pPr>
        <w:rPr>
          <w:rFonts w:ascii="Times New Roman" w:hAnsi="Times New Roman" w:eastAsia="华文中宋" w:cs="Times New Roman"/>
          <w:sz w:val="52"/>
          <w:szCs w:val="52"/>
        </w:rPr>
      </w:pPr>
    </w:p>
    <w:p>
      <w:pPr>
        <w:pStyle w:val="7"/>
        <w:rPr>
          <w:rFonts w:hint="default" w:ascii="Times New Roman" w:hAnsi="Times New Roman" w:eastAsia="华文中宋" w:cs="Times New Roman"/>
          <w:sz w:val="52"/>
          <w:szCs w:val="52"/>
          <w:lang w:eastAsia="zh-CN"/>
        </w:rPr>
      </w:pPr>
    </w:p>
    <w:p>
      <w:pPr>
        <w:pStyle w:val="10"/>
        <w:jc w:val="center"/>
        <w:rPr>
          <w:rFonts w:ascii="Calibri" w:hAnsi="Calibri" w:eastAsia="宋体" w:cs="Times New Roman"/>
          <w:b/>
          <w:bCs/>
          <w:sz w:val="44"/>
          <w:szCs w:val="44"/>
        </w:rPr>
      </w:pPr>
      <w:r>
        <w:rPr>
          <w:rFonts w:hint="eastAsia" w:ascii="Calibri" w:hAnsi="Calibri" w:eastAsia="宋体" w:cs="Times New Roman"/>
          <w:b/>
          <w:bCs/>
          <w:sz w:val="44"/>
          <w:szCs w:val="44"/>
        </w:rPr>
        <w:t>新平先行区管委会</w:t>
      </w:r>
    </w:p>
    <w:p>
      <w:pPr>
        <w:pStyle w:val="10"/>
        <w:jc w:val="center"/>
        <w:rPr>
          <w:rFonts w:ascii="Calibri" w:hAnsi="Calibri" w:eastAsia="宋体" w:cs="Times New Roman"/>
          <w:b/>
          <w:bCs/>
          <w:sz w:val="44"/>
          <w:szCs w:val="44"/>
        </w:rPr>
      </w:pPr>
      <w:r>
        <w:rPr>
          <w:rFonts w:hint="eastAsia" w:ascii="Calibri" w:hAnsi="Calibri" w:eastAsia="宋体" w:cs="Times New Roman"/>
          <w:b/>
          <w:bCs/>
          <w:sz w:val="44"/>
          <w:szCs w:val="44"/>
        </w:rPr>
        <w:t>二〇二三年</w:t>
      </w:r>
      <w:r>
        <w:rPr>
          <w:rFonts w:hint="eastAsia" w:ascii="Calibri" w:hAnsi="Calibri" w:eastAsia="宋体" w:cs="Times New Roman"/>
          <w:b/>
          <w:bCs/>
          <w:sz w:val="44"/>
          <w:szCs w:val="44"/>
          <w:lang w:val="en-US" w:eastAsia="zh-CN"/>
        </w:rPr>
        <w:t>六</w:t>
      </w:r>
      <w:r>
        <w:rPr>
          <w:rFonts w:hint="eastAsia" w:ascii="Calibri" w:hAnsi="Calibri" w:eastAsia="宋体" w:cs="Times New Roman"/>
          <w:b/>
          <w:bCs/>
          <w:sz w:val="44"/>
          <w:szCs w:val="44"/>
        </w:rPr>
        <w:t>月</w:t>
      </w:r>
    </w:p>
    <w:p>
      <w:pPr>
        <w:pStyle w:val="9"/>
        <w:ind w:firstLine="1040"/>
        <w:rPr>
          <w:rFonts w:ascii="Times New Roman" w:hAnsi="Times New Roman" w:eastAsia="华文中宋" w:cs="Times New Roman"/>
          <w:sz w:val="52"/>
          <w:szCs w:val="52"/>
        </w:rPr>
      </w:pPr>
    </w:p>
    <w:sdt>
      <w:sdtPr>
        <w:rPr>
          <w:rFonts w:asciiTheme="minorHAnsi" w:hAnsiTheme="minorHAnsi" w:eastAsiaTheme="minorEastAsia" w:cstheme="minorBidi"/>
          <w:b/>
          <w:bCs/>
          <w:color w:val="auto"/>
          <w:kern w:val="2"/>
          <w:sz w:val="21"/>
          <w:szCs w:val="24"/>
          <w:lang w:val="zh-CN"/>
        </w:rPr>
        <w:id w:val="1599134454"/>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pPr>
            <w:pStyle w:val="26"/>
            <w:jc w:val="center"/>
            <w:rPr>
              <w:b/>
              <w:bCs/>
              <w:color w:val="auto"/>
            </w:rPr>
          </w:pPr>
          <w:r>
            <w:rPr>
              <w:b/>
              <w:bCs/>
              <w:color w:val="auto"/>
              <w:lang w:val="zh-CN"/>
            </w:rPr>
            <w:t>目录</w:t>
          </w:r>
        </w:p>
        <w:p>
          <w:pPr>
            <w:pStyle w:val="13"/>
            <w:tabs>
              <w:tab w:val="right" w:leader="dot" w:pos="8306"/>
            </w:tabs>
          </w:pPr>
          <w:r>
            <w:fldChar w:fldCharType="begin"/>
          </w:r>
          <w:r>
            <w:instrText xml:space="preserve"> TOC \o "1-3" \h \z \u </w:instrText>
          </w:r>
          <w:r>
            <w:fldChar w:fldCharType="separate"/>
          </w:r>
          <w:r>
            <w:fldChar w:fldCharType="begin"/>
          </w:r>
          <w:r>
            <w:instrText xml:space="preserve"> HYPERLINK \l _Toc3769 </w:instrText>
          </w:r>
          <w:r>
            <w:fldChar w:fldCharType="separate"/>
          </w:r>
          <w:r>
            <w:rPr>
              <w:rFonts w:hint="eastAsia" w:ascii="Times New Roman" w:hAnsi="Times New Roman" w:eastAsia="黑体" w:cs="Times New Roman"/>
              <w:szCs w:val="36"/>
            </w:rPr>
            <w:t>前  言</w:t>
          </w:r>
          <w:r>
            <w:tab/>
          </w:r>
          <w:r>
            <w:fldChar w:fldCharType="begin"/>
          </w:r>
          <w:r>
            <w:instrText xml:space="preserve"> PAGEREF _Toc3769 \h </w:instrText>
          </w:r>
          <w:r>
            <w:fldChar w:fldCharType="separate"/>
          </w:r>
          <w:r>
            <w:t>3</w:t>
          </w:r>
          <w:r>
            <w:fldChar w:fldCharType="end"/>
          </w:r>
          <w:r>
            <w:fldChar w:fldCharType="end"/>
          </w:r>
        </w:p>
        <w:p>
          <w:pPr>
            <w:pStyle w:val="13"/>
            <w:tabs>
              <w:tab w:val="right" w:leader="dot" w:pos="8306"/>
            </w:tabs>
          </w:pPr>
          <w:r>
            <w:rPr>
              <w:bCs/>
              <w:lang w:val="zh-CN"/>
            </w:rPr>
            <w:fldChar w:fldCharType="begin"/>
          </w:r>
          <w:r>
            <w:rPr>
              <w:bCs/>
              <w:lang w:val="zh-CN"/>
            </w:rPr>
            <w:instrText xml:space="preserve"> HYPERLINK \l _Toc19062 </w:instrText>
          </w:r>
          <w:r>
            <w:rPr>
              <w:bCs/>
              <w:lang w:val="zh-CN"/>
            </w:rPr>
            <w:fldChar w:fldCharType="separate"/>
          </w:r>
          <w:r>
            <w:rPr>
              <w:rFonts w:hint="eastAsia" w:ascii="Times New Roman" w:hAnsi="Times New Roman" w:eastAsia="黑体" w:cs="Times New Roman"/>
              <w:szCs w:val="36"/>
            </w:rPr>
            <w:t xml:space="preserve">第一章 </w:t>
          </w:r>
          <w:r>
            <w:rPr>
              <w:rFonts w:ascii="Times New Roman" w:hAnsi="Times New Roman" w:eastAsia="黑体" w:cs="Times New Roman"/>
              <w:szCs w:val="36"/>
            </w:rPr>
            <w:t xml:space="preserve"> </w:t>
          </w:r>
          <w:r>
            <w:rPr>
              <w:rFonts w:hint="eastAsia" w:ascii="Times New Roman" w:hAnsi="Times New Roman" w:eastAsia="黑体" w:cs="Times New Roman"/>
              <w:szCs w:val="36"/>
            </w:rPr>
            <w:t>发展基础与环境</w:t>
          </w:r>
          <w:r>
            <w:tab/>
          </w:r>
          <w:r>
            <w:fldChar w:fldCharType="begin"/>
          </w:r>
          <w:r>
            <w:instrText xml:space="preserve"> PAGEREF _Toc19062 \h </w:instrText>
          </w:r>
          <w:r>
            <w:fldChar w:fldCharType="separate"/>
          </w:r>
          <w:r>
            <w:t>6</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_Toc25425 </w:instrText>
          </w:r>
          <w:r>
            <w:rPr>
              <w:bCs/>
              <w:lang w:val="zh-CN"/>
            </w:rPr>
            <w:fldChar w:fldCharType="separate"/>
          </w:r>
          <w:r>
            <w:rPr>
              <w:rFonts w:hint="eastAsia" w:ascii="Times New Roman" w:hAnsi="Times New Roman" w:eastAsia="黑体" w:cs="Times New Roman"/>
              <w:szCs w:val="32"/>
            </w:rPr>
            <w:t xml:space="preserve">第一节 </w:t>
          </w:r>
          <w:r>
            <w:rPr>
              <w:rFonts w:ascii="Times New Roman" w:hAnsi="Times New Roman" w:eastAsia="黑体" w:cs="Times New Roman"/>
              <w:szCs w:val="32"/>
            </w:rPr>
            <w:t xml:space="preserve"> </w:t>
          </w:r>
          <w:r>
            <w:rPr>
              <w:rFonts w:hint="eastAsia" w:ascii="Times New Roman" w:hAnsi="Times New Roman" w:eastAsia="黑体" w:cs="Times New Roman"/>
              <w:szCs w:val="32"/>
            </w:rPr>
            <w:t>发展优势</w:t>
          </w:r>
          <w:r>
            <w:tab/>
          </w:r>
          <w:r>
            <w:fldChar w:fldCharType="begin"/>
          </w:r>
          <w:r>
            <w:instrText xml:space="preserve"> PAGEREF _Toc25425 \h </w:instrText>
          </w:r>
          <w:r>
            <w:fldChar w:fldCharType="separate"/>
          </w:r>
          <w:r>
            <w:t>6</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_Toc19974 </w:instrText>
          </w:r>
          <w:r>
            <w:rPr>
              <w:bCs/>
              <w:lang w:val="zh-CN"/>
            </w:rPr>
            <w:fldChar w:fldCharType="separate"/>
          </w:r>
          <w:r>
            <w:rPr>
              <w:rFonts w:hint="eastAsia" w:ascii="Times New Roman" w:hAnsi="Times New Roman" w:eastAsia="黑体" w:cs="Times New Roman"/>
              <w:szCs w:val="32"/>
            </w:rPr>
            <w:t>第二节  存在问题</w:t>
          </w:r>
          <w:r>
            <w:tab/>
          </w:r>
          <w:r>
            <w:fldChar w:fldCharType="begin"/>
          </w:r>
          <w:r>
            <w:instrText xml:space="preserve"> PAGEREF _Toc19974 \h </w:instrText>
          </w:r>
          <w:r>
            <w:fldChar w:fldCharType="separate"/>
          </w:r>
          <w:r>
            <w:t>9</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_Toc8644 </w:instrText>
          </w:r>
          <w:r>
            <w:rPr>
              <w:bCs/>
              <w:lang w:val="zh-CN"/>
            </w:rPr>
            <w:fldChar w:fldCharType="separate"/>
          </w:r>
          <w:r>
            <w:rPr>
              <w:rFonts w:hint="eastAsia" w:ascii="Times New Roman" w:hAnsi="Times New Roman" w:eastAsia="黑体" w:cs="Times New Roman"/>
              <w:szCs w:val="32"/>
            </w:rPr>
            <w:t>第三节  发展机遇</w:t>
          </w:r>
          <w:r>
            <w:tab/>
          </w:r>
          <w:r>
            <w:fldChar w:fldCharType="begin"/>
          </w:r>
          <w:r>
            <w:instrText xml:space="preserve"> PAGEREF _Toc8644 \h </w:instrText>
          </w:r>
          <w:r>
            <w:fldChar w:fldCharType="separate"/>
          </w:r>
          <w:r>
            <w:t>10</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_Toc12047 </w:instrText>
          </w:r>
          <w:r>
            <w:rPr>
              <w:bCs/>
              <w:lang w:val="zh-CN"/>
            </w:rPr>
            <w:fldChar w:fldCharType="separate"/>
          </w:r>
          <w:r>
            <w:rPr>
              <w:rFonts w:hint="eastAsia" w:ascii="Times New Roman" w:hAnsi="Times New Roman" w:eastAsia="黑体" w:cs="Times New Roman"/>
              <w:szCs w:val="32"/>
            </w:rPr>
            <w:t>第四节  面临挑战</w:t>
          </w:r>
          <w:r>
            <w:tab/>
          </w:r>
          <w:r>
            <w:fldChar w:fldCharType="begin"/>
          </w:r>
          <w:r>
            <w:instrText xml:space="preserve"> PAGEREF _Toc12047 \h </w:instrText>
          </w:r>
          <w:r>
            <w:fldChar w:fldCharType="separate"/>
          </w:r>
          <w:r>
            <w:t>12</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_Toc13455 </w:instrText>
          </w:r>
          <w:r>
            <w:rPr>
              <w:bCs/>
              <w:lang w:val="zh-CN"/>
            </w:rPr>
            <w:fldChar w:fldCharType="separate"/>
          </w:r>
          <w:r>
            <w:rPr>
              <w:rFonts w:hint="eastAsia" w:ascii="Times New Roman" w:hAnsi="Times New Roman" w:eastAsia="黑体" w:cs="Times New Roman"/>
              <w:szCs w:val="36"/>
            </w:rPr>
            <w:t>第二章  总体要求</w:t>
          </w:r>
          <w:r>
            <w:tab/>
          </w:r>
          <w:r>
            <w:fldChar w:fldCharType="begin"/>
          </w:r>
          <w:r>
            <w:instrText xml:space="preserve"> PAGEREF _Toc13455 \h </w:instrText>
          </w:r>
          <w:r>
            <w:fldChar w:fldCharType="separate"/>
          </w:r>
          <w:r>
            <w:t>14</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_Toc1819 </w:instrText>
          </w:r>
          <w:r>
            <w:rPr>
              <w:bCs/>
              <w:lang w:val="zh-CN"/>
            </w:rPr>
            <w:fldChar w:fldCharType="separate"/>
          </w:r>
          <w:r>
            <w:rPr>
              <w:rFonts w:hint="eastAsia" w:ascii="Times New Roman" w:hAnsi="Times New Roman" w:eastAsia="黑体" w:cs="Times New Roman"/>
              <w:szCs w:val="32"/>
            </w:rPr>
            <w:t>第一节  指导思想</w:t>
          </w:r>
          <w:r>
            <w:tab/>
          </w:r>
          <w:r>
            <w:fldChar w:fldCharType="begin"/>
          </w:r>
          <w:r>
            <w:instrText xml:space="preserve"> PAGEREF _Toc1819 \h </w:instrText>
          </w:r>
          <w:r>
            <w:fldChar w:fldCharType="separate"/>
          </w:r>
          <w:r>
            <w:t>14</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_Toc25792 </w:instrText>
          </w:r>
          <w:r>
            <w:rPr>
              <w:bCs/>
              <w:lang w:val="zh-CN"/>
            </w:rPr>
            <w:fldChar w:fldCharType="separate"/>
          </w:r>
          <w:r>
            <w:rPr>
              <w:rFonts w:hint="eastAsia" w:ascii="Times New Roman" w:hAnsi="Times New Roman" w:eastAsia="黑体" w:cs="Times New Roman"/>
              <w:szCs w:val="32"/>
            </w:rPr>
            <w:t>第二节  基本原则</w:t>
          </w:r>
          <w:r>
            <w:tab/>
          </w:r>
          <w:r>
            <w:fldChar w:fldCharType="begin"/>
          </w:r>
          <w:r>
            <w:instrText xml:space="preserve"> PAGEREF _Toc25792 \h </w:instrText>
          </w:r>
          <w:r>
            <w:fldChar w:fldCharType="separate"/>
          </w:r>
          <w:r>
            <w:t>14</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_Toc4260 </w:instrText>
          </w:r>
          <w:r>
            <w:rPr>
              <w:bCs/>
              <w:lang w:val="zh-CN"/>
            </w:rPr>
            <w:fldChar w:fldCharType="separate"/>
          </w:r>
          <w:r>
            <w:rPr>
              <w:rFonts w:hint="eastAsia" w:ascii="Times New Roman" w:hAnsi="Times New Roman" w:eastAsia="黑体" w:cs="Times New Roman"/>
              <w:szCs w:val="32"/>
            </w:rPr>
            <w:t>第三节  发展目标</w:t>
          </w:r>
          <w:r>
            <w:tab/>
          </w:r>
          <w:r>
            <w:fldChar w:fldCharType="begin"/>
          </w:r>
          <w:r>
            <w:instrText xml:space="preserve"> PAGEREF _Toc4260 \h </w:instrText>
          </w:r>
          <w:r>
            <w:fldChar w:fldCharType="separate"/>
          </w:r>
          <w:r>
            <w:t>16</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_Toc12397 </w:instrText>
          </w:r>
          <w:r>
            <w:rPr>
              <w:bCs/>
              <w:lang w:val="zh-CN"/>
            </w:rPr>
            <w:fldChar w:fldCharType="separate"/>
          </w:r>
          <w:r>
            <w:rPr>
              <w:rFonts w:hint="eastAsia" w:ascii="Times New Roman" w:hAnsi="Times New Roman" w:eastAsia="黑体" w:cs="Times New Roman"/>
              <w:szCs w:val="36"/>
            </w:rPr>
            <w:t>第三章  发展领域与重点</w:t>
          </w:r>
          <w:r>
            <w:tab/>
          </w:r>
          <w:r>
            <w:fldChar w:fldCharType="begin"/>
          </w:r>
          <w:r>
            <w:instrText xml:space="preserve"> PAGEREF _Toc12397 \h </w:instrText>
          </w:r>
          <w:r>
            <w:fldChar w:fldCharType="separate"/>
          </w:r>
          <w:r>
            <w:t>18</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_Toc20707 </w:instrText>
          </w:r>
          <w:r>
            <w:rPr>
              <w:bCs/>
              <w:lang w:val="zh-CN"/>
            </w:rPr>
            <w:fldChar w:fldCharType="separate"/>
          </w:r>
          <w:r>
            <w:rPr>
              <w:rFonts w:hint="eastAsia" w:ascii="Times New Roman" w:hAnsi="Times New Roman" w:eastAsia="黑体" w:cs="Times New Roman"/>
              <w:szCs w:val="32"/>
            </w:rPr>
            <w:t>第一节  数字经济</w:t>
          </w:r>
          <w:r>
            <w:tab/>
          </w:r>
          <w:r>
            <w:fldChar w:fldCharType="begin"/>
          </w:r>
          <w:r>
            <w:instrText xml:space="preserve"> PAGEREF _Toc20707 \h </w:instrText>
          </w:r>
          <w:r>
            <w:fldChar w:fldCharType="separate"/>
          </w:r>
          <w:r>
            <w:t>18</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_Toc29052 </w:instrText>
          </w:r>
          <w:r>
            <w:rPr>
              <w:bCs/>
              <w:lang w:val="zh-CN"/>
            </w:rPr>
            <w:fldChar w:fldCharType="separate"/>
          </w:r>
          <w:r>
            <w:rPr>
              <w:rFonts w:hint="eastAsia" w:ascii="Times New Roman" w:hAnsi="Times New Roman" w:eastAsia="黑体" w:cs="Times New Roman"/>
              <w:szCs w:val="32"/>
            </w:rPr>
            <w:t>第二节  工业</w:t>
          </w:r>
          <w:r>
            <w:tab/>
          </w:r>
          <w:r>
            <w:fldChar w:fldCharType="begin"/>
          </w:r>
          <w:r>
            <w:instrText xml:space="preserve"> PAGEREF _Toc29052 \h </w:instrText>
          </w:r>
          <w:r>
            <w:fldChar w:fldCharType="separate"/>
          </w:r>
          <w:r>
            <w:t>19</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_Toc13642 </w:instrText>
          </w:r>
          <w:r>
            <w:rPr>
              <w:bCs/>
              <w:lang w:val="zh-CN"/>
            </w:rPr>
            <w:fldChar w:fldCharType="separate"/>
          </w:r>
          <w:r>
            <w:rPr>
              <w:rFonts w:hint="eastAsia" w:ascii="Times New Roman" w:hAnsi="Times New Roman" w:eastAsia="黑体" w:cs="Times New Roman"/>
              <w:szCs w:val="32"/>
            </w:rPr>
            <w:t>第三节  现代服务业</w:t>
          </w:r>
          <w:r>
            <w:tab/>
          </w:r>
          <w:r>
            <w:fldChar w:fldCharType="begin"/>
          </w:r>
          <w:r>
            <w:instrText xml:space="preserve"> PAGEREF _Toc13642 \h </w:instrText>
          </w:r>
          <w:r>
            <w:fldChar w:fldCharType="separate"/>
          </w:r>
          <w:r>
            <w:t>22</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_Toc6780 </w:instrText>
          </w:r>
          <w:r>
            <w:rPr>
              <w:bCs/>
              <w:lang w:val="zh-CN"/>
            </w:rPr>
            <w:fldChar w:fldCharType="separate"/>
          </w:r>
          <w:r>
            <w:rPr>
              <w:rFonts w:hint="eastAsia" w:ascii="Times New Roman" w:hAnsi="Times New Roman" w:eastAsia="黑体" w:cs="Times New Roman"/>
              <w:szCs w:val="32"/>
            </w:rPr>
            <w:t>第四节  现代农业</w:t>
          </w:r>
          <w:r>
            <w:tab/>
          </w:r>
          <w:r>
            <w:fldChar w:fldCharType="begin"/>
          </w:r>
          <w:r>
            <w:instrText xml:space="preserve"> PAGEREF _Toc6780 \h </w:instrText>
          </w:r>
          <w:r>
            <w:fldChar w:fldCharType="separate"/>
          </w:r>
          <w:r>
            <w:t>32</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_Toc2678 </w:instrText>
          </w:r>
          <w:r>
            <w:rPr>
              <w:bCs/>
              <w:lang w:val="zh-CN"/>
            </w:rPr>
            <w:fldChar w:fldCharType="separate"/>
          </w:r>
          <w:r>
            <w:rPr>
              <w:rFonts w:hint="eastAsia" w:ascii="Times New Roman" w:hAnsi="Times New Roman" w:eastAsia="黑体" w:cs="Times New Roman"/>
              <w:szCs w:val="36"/>
            </w:rPr>
            <w:t>第四章  主要行动</w:t>
          </w:r>
          <w:r>
            <w:tab/>
          </w:r>
          <w:r>
            <w:fldChar w:fldCharType="begin"/>
          </w:r>
          <w:r>
            <w:instrText xml:space="preserve"> PAGEREF _Toc2678 \h </w:instrText>
          </w:r>
          <w:r>
            <w:fldChar w:fldCharType="separate"/>
          </w:r>
          <w:r>
            <w:t>34</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_Toc11880 </w:instrText>
          </w:r>
          <w:r>
            <w:rPr>
              <w:bCs/>
              <w:lang w:val="zh-CN"/>
            </w:rPr>
            <w:fldChar w:fldCharType="separate"/>
          </w:r>
          <w:r>
            <w:rPr>
              <w:rFonts w:hint="eastAsia" w:ascii="Times New Roman" w:hAnsi="Times New Roman" w:eastAsia="黑体" w:cs="Times New Roman"/>
              <w:szCs w:val="32"/>
            </w:rPr>
            <w:t xml:space="preserve">第一节 </w:t>
          </w:r>
          <w:r>
            <w:rPr>
              <w:rFonts w:ascii="Times New Roman" w:hAnsi="Times New Roman" w:eastAsia="黑体" w:cs="Times New Roman"/>
              <w:szCs w:val="32"/>
            </w:rPr>
            <w:t xml:space="preserve"> </w:t>
          </w:r>
          <w:r>
            <w:rPr>
              <w:rFonts w:hint="eastAsia" w:ascii="Times New Roman" w:hAnsi="Times New Roman" w:eastAsia="黑体" w:cs="Times New Roman"/>
              <w:szCs w:val="32"/>
            </w:rPr>
            <w:t>实施产业生态</w:t>
          </w:r>
          <w:r>
            <w:rPr>
              <w:rFonts w:hint="eastAsia" w:ascii="Times New Roman" w:hAnsi="Times New Roman" w:eastAsia="黑体" w:cs="Times New Roman"/>
              <w:szCs w:val="32"/>
              <w:lang w:val="en-US" w:eastAsia="zh-CN"/>
            </w:rPr>
            <w:t>塑造</w:t>
          </w:r>
          <w:r>
            <w:rPr>
              <w:rFonts w:hint="eastAsia" w:ascii="Times New Roman" w:hAnsi="Times New Roman" w:eastAsia="黑体" w:cs="Times New Roman"/>
              <w:szCs w:val="32"/>
            </w:rPr>
            <w:t>行动</w:t>
          </w:r>
          <w:r>
            <w:tab/>
          </w:r>
          <w:r>
            <w:fldChar w:fldCharType="begin"/>
          </w:r>
          <w:r>
            <w:instrText xml:space="preserve"> PAGEREF _Toc11880 \h </w:instrText>
          </w:r>
          <w:r>
            <w:fldChar w:fldCharType="separate"/>
          </w:r>
          <w:r>
            <w:t>34</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_Toc24353 </w:instrText>
          </w:r>
          <w:r>
            <w:rPr>
              <w:bCs/>
              <w:lang w:val="zh-CN"/>
            </w:rPr>
            <w:fldChar w:fldCharType="separate"/>
          </w:r>
          <w:r>
            <w:rPr>
              <w:rFonts w:hint="eastAsia" w:ascii="Times New Roman" w:hAnsi="Times New Roman" w:eastAsia="黑体" w:cs="Times New Roman"/>
              <w:szCs w:val="32"/>
            </w:rPr>
            <w:t>第二节  实施科技创新驱动行动</w:t>
          </w:r>
          <w:r>
            <w:tab/>
          </w:r>
          <w:r>
            <w:fldChar w:fldCharType="begin"/>
          </w:r>
          <w:r>
            <w:instrText xml:space="preserve"> PAGEREF _Toc24353 \h </w:instrText>
          </w:r>
          <w:r>
            <w:fldChar w:fldCharType="separate"/>
          </w:r>
          <w:r>
            <w:t>38</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_Toc20154 </w:instrText>
          </w:r>
          <w:r>
            <w:rPr>
              <w:bCs/>
              <w:lang w:val="zh-CN"/>
            </w:rPr>
            <w:fldChar w:fldCharType="separate"/>
          </w:r>
          <w:r>
            <w:rPr>
              <w:rFonts w:hint="eastAsia" w:ascii="Times New Roman" w:hAnsi="Times New Roman" w:eastAsia="黑体" w:cs="Times New Roman"/>
              <w:szCs w:val="32"/>
            </w:rPr>
            <w:t>第三节  实施企业育强培优行动</w:t>
          </w:r>
          <w:r>
            <w:tab/>
          </w:r>
          <w:r>
            <w:fldChar w:fldCharType="begin"/>
          </w:r>
          <w:r>
            <w:instrText xml:space="preserve"> PAGEREF _Toc20154 \h </w:instrText>
          </w:r>
          <w:r>
            <w:fldChar w:fldCharType="separate"/>
          </w:r>
          <w:r>
            <w:t>40</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_Toc13397 </w:instrText>
          </w:r>
          <w:r>
            <w:rPr>
              <w:bCs/>
              <w:lang w:val="zh-CN"/>
            </w:rPr>
            <w:fldChar w:fldCharType="separate"/>
          </w:r>
          <w:r>
            <w:rPr>
              <w:rFonts w:hint="eastAsia" w:ascii="Times New Roman" w:hAnsi="Times New Roman" w:eastAsia="黑体" w:cs="Times New Roman"/>
              <w:szCs w:val="32"/>
            </w:rPr>
            <w:t>第四节  实施质量品牌提升行动</w:t>
          </w:r>
          <w:r>
            <w:tab/>
          </w:r>
          <w:r>
            <w:fldChar w:fldCharType="begin"/>
          </w:r>
          <w:r>
            <w:instrText xml:space="preserve"> PAGEREF _Toc13397 \h </w:instrText>
          </w:r>
          <w:r>
            <w:fldChar w:fldCharType="separate"/>
          </w:r>
          <w:r>
            <w:t>42</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_Toc31036 </w:instrText>
          </w:r>
          <w:r>
            <w:rPr>
              <w:bCs/>
              <w:lang w:val="zh-CN"/>
            </w:rPr>
            <w:fldChar w:fldCharType="separate"/>
          </w:r>
          <w:r>
            <w:rPr>
              <w:rFonts w:hint="eastAsia" w:ascii="Times New Roman" w:hAnsi="Times New Roman" w:eastAsia="黑体" w:cs="Times New Roman"/>
              <w:szCs w:val="32"/>
            </w:rPr>
            <w:t>第五节  实施绿色发展清洁行动</w:t>
          </w:r>
          <w:r>
            <w:tab/>
          </w:r>
          <w:r>
            <w:fldChar w:fldCharType="begin"/>
          </w:r>
          <w:r>
            <w:instrText xml:space="preserve"> PAGEREF _Toc31036 \h </w:instrText>
          </w:r>
          <w:r>
            <w:fldChar w:fldCharType="separate"/>
          </w:r>
          <w:r>
            <w:t>44</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_Toc20624 </w:instrText>
          </w:r>
          <w:r>
            <w:rPr>
              <w:bCs/>
              <w:lang w:val="zh-CN"/>
            </w:rPr>
            <w:fldChar w:fldCharType="separate"/>
          </w:r>
          <w:r>
            <w:rPr>
              <w:rFonts w:hint="eastAsia" w:ascii="Times New Roman" w:hAnsi="Times New Roman" w:eastAsia="黑体" w:cs="Times New Roman"/>
              <w:szCs w:val="32"/>
            </w:rPr>
            <w:t>第六节  实施人才服务促进行动</w:t>
          </w:r>
          <w:r>
            <w:tab/>
          </w:r>
          <w:r>
            <w:fldChar w:fldCharType="begin"/>
          </w:r>
          <w:r>
            <w:instrText xml:space="preserve"> PAGEREF _Toc20624 \h </w:instrText>
          </w:r>
          <w:r>
            <w:fldChar w:fldCharType="separate"/>
          </w:r>
          <w:r>
            <w:t>46</w:t>
          </w:r>
          <w:r>
            <w:fldChar w:fldCharType="end"/>
          </w:r>
          <w:r>
            <w:rPr>
              <w:bCs/>
              <w:lang w:val="zh-CN"/>
            </w:rPr>
            <w:fldChar w:fldCharType="end"/>
          </w:r>
        </w:p>
        <w:p>
          <w:pPr>
            <w:pStyle w:val="14"/>
            <w:tabs>
              <w:tab w:val="right" w:leader="dot" w:pos="8306"/>
            </w:tabs>
          </w:pPr>
          <w:r>
            <w:rPr>
              <w:bCs/>
              <w:lang w:val="zh-CN"/>
            </w:rPr>
            <w:fldChar w:fldCharType="begin"/>
          </w:r>
          <w:r>
            <w:rPr>
              <w:bCs/>
              <w:lang w:val="zh-CN"/>
            </w:rPr>
            <w:instrText xml:space="preserve"> HYPERLINK \l _Toc749 </w:instrText>
          </w:r>
          <w:r>
            <w:rPr>
              <w:bCs/>
              <w:lang w:val="zh-CN"/>
            </w:rPr>
            <w:fldChar w:fldCharType="separate"/>
          </w:r>
          <w:r>
            <w:rPr>
              <w:rFonts w:hint="eastAsia" w:ascii="Times New Roman" w:hAnsi="Times New Roman" w:eastAsia="黑体" w:cs="Times New Roman"/>
              <w:szCs w:val="32"/>
            </w:rPr>
            <w:t>第七节  实施精准招商引资行动</w:t>
          </w:r>
          <w:r>
            <w:tab/>
          </w:r>
          <w:r>
            <w:fldChar w:fldCharType="begin"/>
          </w:r>
          <w:r>
            <w:instrText xml:space="preserve"> PAGEREF _Toc749 \h </w:instrText>
          </w:r>
          <w:r>
            <w:fldChar w:fldCharType="separate"/>
          </w:r>
          <w:r>
            <w:t>47</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_Toc891 </w:instrText>
          </w:r>
          <w:r>
            <w:rPr>
              <w:bCs/>
              <w:lang w:val="zh-CN"/>
            </w:rPr>
            <w:fldChar w:fldCharType="separate"/>
          </w:r>
          <w:r>
            <w:rPr>
              <w:rFonts w:ascii="Times New Roman" w:hAnsi="Times New Roman" w:eastAsia="黑体" w:cs="Times New Roman"/>
              <w:szCs w:val="36"/>
            </w:rPr>
            <w:t>第</w:t>
          </w:r>
          <w:r>
            <w:rPr>
              <w:rFonts w:hint="eastAsia" w:ascii="Times New Roman" w:hAnsi="Times New Roman" w:eastAsia="黑体" w:cs="Times New Roman"/>
              <w:szCs w:val="36"/>
            </w:rPr>
            <w:t>五</w:t>
          </w:r>
          <w:r>
            <w:rPr>
              <w:rFonts w:ascii="Times New Roman" w:hAnsi="Times New Roman" w:eastAsia="黑体" w:cs="Times New Roman"/>
              <w:szCs w:val="36"/>
            </w:rPr>
            <w:t>章</w:t>
          </w:r>
          <w:r>
            <w:rPr>
              <w:rFonts w:hint="eastAsia" w:ascii="Times New Roman" w:hAnsi="Times New Roman" w:eastAsia="黑体" w:cs="Times New Roman"/>
              <w:szCs w:val="36"/>
            </w:rPr>
            <w:t xml:space="preserve"> </w:t>
          </w:r>
          <w:r>
            <w:rPr>
              <w:rFonts w:ascii="Times New Roman" w:hAnsi="Times New Roman" w:eastAsia="黑体" w:cs="Times New Roman"/>
              <w:szCs w:val="36"/>
            </w:rPr>
            <w:t xml:space="preserve"> 保障措施</w:t>
          </w:r>
          <w:r>
            <w:tab/>
          </w:r>
          <w:r>
            <w:fldChar w:fldCharType="begin"/>
          </w:r>
          <w:r>
            <w:instrText xml:space="preserve"> PAGEREF _Toc891 \h </w:instrText>
          </w:r>
          <w:r>
            <w:fldChar w:fldCharType="separate"/>
          </w:r>
          <w:r>
            <w:t>49</w:t>
          </w:r>
          <w:r>
            <w:fldChar w:fldCharType="end"/>
          </w:r>
          <w:r>
            <w:rPr>
              <w:bCs/>
              <w:lang w:val="zh-CN"/>
            </w:rPr>
            <w:fldChar w:fldCharType="end"/>
          </w:r>
        </w:p>
        <w:p>
          <w:pPr>
            <w:pStyle w:val="13"/>
            <w:tabs>
              <w:tab w:val="right" w:leader="dot" w:pos="8306"/>
            </w:tabs>
          </w:pPr>
          <w:r>
            <w:rPr>
              <w:bCs/>
              <w:lang w:val="zh-CN"/>
            </w:rPr>
            <w:fldChar w:fldCharType="begin"/>
          </w:r>
          <w:r>
            <w:rPr>
              <w:bCs/>
              <w:lang w:val="zh-CN"/>
            </w:rPr>
            <w:instrText xml:space="preserve"> HYPERLINK \l _Toc14543 </w:instrText>
          </w:r>
          <w:r>
            <w:rPr>
              <w:bCs/>
              <w:lang w:val="zh-CN"/>
            </w:rPr>
            <w:fldChar w:fldCharType="separate"/>
          </w:r>
          <w:r>
            <w:rPr>
              <w:rFonts w:hint="eastAsia" w:ascii="Times New Roman" w:hAnsi="Times New Roman" w:eastAsia="黑体" w:cs="Times New Roman"/>
              <w:szCs w:val="36"/>
            </w:rPr>
            <w:t xml:space="preserve">附件 </w:t>
          </w:r>
          <w:r>
            <w:rPr>
              <w:rFonts w:ascii="Times New Roman" w:hAnsi="Times New Roman" w:eastAsia="黑体" w:cs="Times New Roman"/>
              <w:szCs w:val="36"/>
            </w:rPr>
            <w:t xml:space="preserve"> </w:t>
          </w:r>
          <w:r>
            <w:rPr>
              <w:rFonts w:hint="eastAsia" w:ascii="Times New Roman" w:hAnsi="Times New Roman" w:eastAsia="黑体" w:cs="Times New Roman"/>
              <w:szCs w:val="36"/>
            </w:rPr>
            <w:t>新平先行区重点建设项目一览表（至2025年）</w:t>
          </w:r>
          <w:r>
            <w:tab/>
          </w:r>
          <w:r>
            <w:fldChar w:fldCharType="begin"/>
          </w:r>
          <w:r>
            <w:instrText xml:space="preserve"> PAGEREF _Toc14543 \h </w:instrText>
          </w:r>
          <w:r>
            <w:fldChar w:fldCharType="separate"/>
          </w:r>
          <w:r>
            <w:t>52</w:t>
          </w:r>
          <w:r>
            <w:fldChar w:fldCharType="end"/>
          </w:r>
          <w:r>
            <w:rPr>
              <w:bCs/>
              <w:lang w:val="zh-CN"/>
            </w:rPr>
            <w:fldChar w:fldCharType="end"/>
          </w:r>
        </w:p>
        <w:p>
          <w:r>
            <w:rPr>
              <w:bCs/>
              <w:lang w:val="zh-CN"/>
            </w:rPr>
            <w:fldChar w:fldCharType="end"/>
          </w:r>
        </w:p>
      </w:sdtContent>
    </w:sdt>
    <w:p>
      <w:pPr>
        <w:pStyle w:val="9"/>
        <w:ind w:left="0" w:leftChars="0" w:firstLine="0" w:firstLineChars="0"/>
      </w:pPr>
    </w:p>
    <w:p>
      <w:pPr>
        <w:sectPr>
          <w:footerReference r:id="rId3" w:type="default"/>
          <w:pgSz w:w="11906" w:h="16838"/>
          <w:pgMar w:top="1440" w:right="1800" w:bottom="1440" w:left="1800" w:header="851" w:footer="992" w:gutter="0"/>
          <w:cols w:space="425" w:num="1"/>
          <w:docGrid w:type="lines" w:linePitch="312" w:charSpace="0"/>
        </w:sectPr>
      </w:pPr>
    </w:p>
    <w:p>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0" w:name="_Toc103617686"/>
      <w:bookmarkStart w:id="1" w:name="_Toc3769"/>
      <w:bookmarkStart w:id="2" w:name="_Toc75728953"/>
      <w:bookmarkStart w:id="3" w:name="_Toc99008496"/>
      <w:bookmarkStart w:id="4" w:name="_Toc58956289"/>
      <w:bookmarkStart w:id="5" w:name="_Toc99880383"/>
      <w:r>
        <w:rPr>
          <w:rFonts w:hint="eastAsia" w:ascii="Times New Roman" w:hAnsi="Times New Roman" w:eastAsia="黑体" w:cs="Times New Roman"/>
          <w:sz w:val="36"/>
          <w:szCs w:val="36"/>
        </w:rPr>
        <w:t>前  言</w:t>
      </w:r>
      <w:bookmarkEnd w:id="0"/>
      <w:bookmarkEnd w:id="1"/>
    </w:p>
    <w:p>
      <w:pPr>
        <w:spacing w:before="156" w:beforeLines="50" w:line="560" w:lineRule="exact"/>
        <w:ind w:firstLine="640" w:firstLineChars="200"/>
        <w:rPr>
          <w:rFonts w:ascii="Times New Roman" w:hAnsi="Times New Roman" w:eastAsia="楷体_GB2312" w:cs="Times New Roman"/>
          <w:sz w:val="32"/>
          <w:szCs w:val="22"/>
        </w:rPr>
      </w:pPr>
      <w:bookmarkStart w:id="6" w:name="_Toc100563924"/>
      <w:bookmarkStart w:id="7" w:name="_Toc103617687"/>
      <w:r>
        <w:rPr>
          <w:rFonts w:hint="eastAsia" w:ascii="Times New Roman" w:hAnsi="Times New Roman" w:eastAsia="楷体_GB2312" w:cs="Times New Roman"/>
          <w:sz w:val="32"/>
          <w:szCs w:val="22"/>
        </w:rPr>
        <w:t>一、规划背景</w:t>
      </w:r>
      <w:bookmarkEnd w:id="6"/>
      <w:bookmarkEnd w:id="7"/>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本规划以习近平新时代中国特色社会主义思想为指导，全面贯彻党的二十大和二十届一中、二中全会精神，结合《浮梁县国民经济和社会发展第十四个五年规划和二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三五年远景目标纲要》，着眼</w:t>
      </w:r>
      <w:r>
        <w:rPr>
          <w:rFonts w:hint="eastAsia" w:ascii="Times New Roman" w:hAnsi="Times New Roman" w:eastAsia="仿宋_GB2312" w:cs="Times New Roman"/>
          <w:bCs/>
          <w:sz w:val="32"/>
          <w:szCs w:val="32"/>
        </w:rPr>
        <w:t>新平先行区产业发展实际，立足新发展阶段、深入贯彻新发展理念，加快构建新发展格局，坚持以供给侧改革为主线，以生态文明建设为指导，规划部署了以现代陶瓷、新材料为</w:t>
      </w:r>
      <w:r>
        <w:rPr>
          <w:rFonts w:ascii="Times New Roman" w:hAnsi="Times New Roman" w:eastAsia="仿宋_GB2312" w:cs="Times New Roman"/>
          <w:bCs/>
          <w:sz w:val="32"/>
          <w:szCs w:val="32"/>
        </w:rPr>
        <w:t>2个主导优势产业，</w:t>
      </w:r>
      <w:r>
        <w:rPr>
          <w:rFonts w:hint="eastAsia" w:ascii="Times New Roman" w:hAnsi="Times New Roman" w:eastAsia="仿宋_GB2312" w:cs="Times New Roman"/>
          <w:bCs/>
          <w:sz w:val="32"/>
          <w:szCs w:val="32"/>
        </w:rPr>
        <w:t>电子信息、通用航空、旅游和现代农业</w:t>
      </w:r>
      <w:r>
        <w:rPr>
          <w:rFonts w:ascii="Times New Roman" w:hAnsi="Times New Roman" w:eastAsia="仿宋_GB2312" w:cs="Times New Roman"/>
          <w:bCs/>
          <w:sz w:val="32"/>
          <w:szCs w:val="32"/>
        </w:rPr>
        <w:t>为</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个潜力产业</w:t>
      </w:r>
      <w:r>
        <w:rPr>
          <w:rFonts w:hint="eastAsia" w:ascii="Times New Roman" w:hAnsi="Times New Roman" w:eastAsia="仿宋_GB2312" w:cs="Times New Roman"/>
          <w:bCs/>
          <w:sz w:val="32"/>
          <w:szCs w:val="32"/>
        </w:rPr>
        <w:t>以及其他一</w:t>
      </w:r>
      <w:r>
        <w:rPr>
          <w:rFonts w:ascii="Times New Roman" w:hAnsi="Times New Roman" w:eastAsia="仿宋_GB2312" w:cs="Times New Roman"/>
          <w:bCs/>
          <w:sz w:val="32"/>
          <w:szCs w:val="32"/>
        </w:rPr>
        <w:t>系列</w:t>
      </w:r>
      <w:r>
        <w:rPr>
          <w:rFonts w:hint="eastAsia" w:ascii="Times New Roman" w:hAnsi="Times New Roman" w:eastAsia="仿宋_GB2312" w:cs="Times New Roman"/>
          <w:bCs/>
          <w:sz w:val="32"/>
          <w:szCs w:val="32"/>
        </w:rPr>
        <w:t>现代服务业</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w:t>
      </w:r>
      <w:r>
        <w:rPr>
          <w:rFonts w:hint="eastAsia" w:ascii="Times New Roman" w:hAnsi="Times New Roman" w:eastAsia="仿宋_GB2312" w:cs="Times New Roman"/>
          <w:bCs/>
          <w:sz w:val="32"/>
          <w:szCs w:val="32"/>
        </w:rPr>
        <w:t>4</w:t>
      </w: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”现代产业体系，提出了</w:t>
      </w:r>
      <w:r>
        <w:rPr>
          <w:rFonts w:hint="eastAsia" w:ascii="Times New Roman" w:hAnsi="Times New Roman" w:eastAsia="仿宋_GB2312" w:cs="Times New Roman"/>
          <w:bCs/>
          <w:sz w:val="32"/>
          <w:szCs w:val="32"/>
          <w:lang w:val="en-US" w:eastAsia="zh-CN"/>
        </w:rPr>
        <w:t>现代</w:t>
      </w:r>
      <w:r>
        <w:rPr>
          <w:rFonts w:hint="eastAsia" w:ascii="Times New Roman" w:hAnsi="Times New Roman" w:eastAsia="仿宋_GB2312" w:cs="Times New Roman"/>
          <w:bCs/>
          <w:sz w:val="32"/>
          <w:szCs w:val="32"/>
        </w:rPr>
        <w:t>陶瓷、新材料、电子信息及通用航空（含汽车零部件）等</w:t>
      </w:r>
      <w:r>
        <w:rPr>
          <w:rFonts w:hint="eastAsia" w:ascii="Times New Roman" w:hAnsi="Times New Roman" w:eastAsia="仿宋_GB2312" w:cs="Times New Roman"/>
          <w:bCs/>
          <w:sz w:val="32"/>
          <w:szCs w:val="32"/>
          <w:lang w:val="en-US" w:eastAsia="zh-CN"/>
        </w:rPr>
        <w:t>四</w:t>
      </w:r>
      <w:r>
        <w:rPr>
          <w:rFonts w:hint="eastAsia" w:ascii="Times New Roman" w:hAnsi="Times New Roman" w:eastAsia="仿宋_GB2312" w:cs="Times New Roman"/>
          <w:bCs/>
          <w:sz w:val="32"/>
          <w:szCs w:val="32"/>
        </w:rPr>
        <w:t>大重点打造的产业集群，并且结合浮梁产业园建设优化了先行区空间布局、规划了系列行动和重点项目，提出了系列的相关发展配套及保障措施，是指导先行区产业高质量发展的宏观性、基础性、战略性规划。</w:t>
      </w:r>
    </w:p>
    <w:p>
      <w:pPr>
        <w:spacing w:before="156" w:beforeLines="50" w:line="560" w:lineRule="exact"/>
        <w:ind w:firstLine="640" w:firstLineChars="200"/>
        <w:rPr>
          <w:rFonts w:ascii="Times New Roman" w:hAnsi="Times New Roman" w:eastAsia="楷体_GB2312" w:cs="Times New Roman"/>
          <w:sz w:val="32"/>
          <w:szCs w:val="22"/>
        </w:rPr>
      </w:pPr>
      <w:bookmarkStart w:id="8" w:name="_Toc103617688"/>
      <w:bookmarkStart w:id="9" w:name="_Toc100563925"/>
      <w:r>
        <w:rPr>
          <w:rFonts w:hint="eastAsia" w:ascii="Times New Roman" w:hAnsi="Times New Roman" w:eastAsia="楷体_GB2312" w:cs="Times New Roman"/>
          <w:sz w:val="32"/>
          <w:szCs w:val="22"/>
        </w:rPr>
        <w:t>二、规划期限</w:t>
      </w:r>
      <w:bookmarkEnd w:id="8"/>
      <w:bookmarkEnd w:id="9"/>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本规划基期为</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2年，近期</w:t>
      </w:r>
      <w:r>
        <w:rPr>
          <w:rFonts w:ascii="Times New Roman" w:hAnsi="Times New Roman" w:eastAsia="仿宋_GB2312" w:cs="Times New Roman"/>
          <w:bCs/>
          <w:sz w:val="32"/>
          <w:szCs w:val="32"/>
        </w:rPr>
        <w:t>202</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2025</w:t>
      </w:r>
      <w:r>
        <w:rPr>
          <w:rFonts w:hint="eastAsia" w:ascii="Times New Roman" w:hAnsi="Times New Roman" w:eastAsia="仿宋_GB2312" w:cs="Times New Roman"/>
          <w:bCs/>
          <w:sz w:val="32"/>
          <w:szCs w:val="32"/>
        </w:rPr>
        <w:t>年，远期2</w:t>
      </w:r>
      <w:r>
        <w:rPr>
          <w:rFonts w:ascii="Times New Roman" w:hAnsi="Times New Roman" w:eastAsia="仿宋_GB2312" w:cs="Times New Roman"/>
          <w:bCs/>
          <w:sz w:val="32"/>
          <w:szCs w:val="32"/>
        </w:rPr>
        <w:t>026</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203</w:t>
      </w:r>
      <w:r>
        <w:rPr>
          <w:rFonts w:hint="eastAsia" w:ascii="Times New Roman" w:hAnsi="Times New Roman" w:eastAsia="仿宋_GB2312" w:cs="Times New Roman"/>
          <w:bCs/>
          <w:sz w:val="32"/>
          <w:szCs w:val="32"/>
        </w:rPr>
        <w:t>0年。</w:t>
      </w:r>
    </w:p>
    <w:p>
      <w:pPr>
        <w:spacing w:before="156" w:beforeLines="50" w:line="560" w:lineRule="exact"/>
        <w:ind w:firstLine="640" w:firstLineChars="200"/>
        <w:rPr>
          <w:rFonts w:ascii="Times New Roman" w:hAnsi="Times New Roman" w:eastAsia="楷体_GB2312" w:cs="Times New Roman"/>
          <w:sz w:val="32"/>
          <w:szCs w:val="22"/>
        </w:rPr>
      </w:pPr>
      <w:bookmarkStart w:id="10" w:name="_Toc100563926"/>
      <w:bookmarkStart w:id="11" w:name="_Toc103617689"/>
      <w:r>
        <w:rPr>
          <w:rFonts w:hint="eastAsia" w:ascii="Times New Roman" w:hAnsi="Times New Roman" w:eastAsia="楷体_GB2312" w:cs="Times New Roman"/>
          <w:sz w:val="32"/>
          <w:szCs w:val="22"/>
        </w:rPr>
        <w:t>三、规划范围</w:t>
      </w:r>
      <w:bookmarkEnd w:id="10"/>
      <w:bookmarkEnd w:id="11"/>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本次规划主要包括新平先行区所辖浮梁县浮梁镇、王港乡、湘湖镇、寿安镇四个乡镇和浮梁产业园，包括</w:t>
      </w:r>
      <w:r>
        <w:rPr>
          <w:rFonts w:hint="eastAsia" w:ascii="Times New Roman" w:hAnsi="Times New Roman" w:eastAsia="仿宋_GB2312" w:cs="Times New Roman"/>
          <w:bCs/>
          <w:sz w:val="32"/>
          <w:szCs w:val="32"/>
          <w:lang w:val="en-US" w:eastAsia="zh-CN"/>
        </w:rPr>
        <w:t>36</w:t>
      </w:r>
      <w:r>
        <w:rPr>
          <w:rFonts w:hint="eastAsia" w:ascii="Times New Roman" w:hAnsi="Times New Roman" w:eastAsia="仿宋_GB2312" w:cs="Times New Roman"/>
          <w:bCs/>
          <w:sz w:val="32"/>
          <w:szCs w:val="32"/>
        </w:rPr>
        <w:t>个村委会、</w:t>
      </w:r>
      <w:r>
        <w:rPr>
          <w:rFonts w:hint="eastAsia" w:ascii="Times New Roman" w:hAnsi="Times New Roman" w:eastAsia="仿宋_GB2312" w:cs="Times New Roman"/>
          <w:bCs/>
          <w:sz w:val="32"/>
          <w:szCs w:val="32"/>
          <w:lang w:val="en-US" w:eastAsia="zh-CN"/>
        </w:rPr>
        <w:t>11</w:t>
      </w:r>
      <w:r>
        <w:rPr>
          <w:rFonts w:hint="eastAsia" w:ascii="Times New Roman" w:hAnsi="Times New Roman" w:eastAsia="仿宋_GB2312" w:cs="Times New Roman"/>
          <w:bCs/>
          <w:sz w:val="32"/>
          <w:szCs w:val="32"/>
        </w:rPr>
        <w:t>个居委会和一个产业园区，总面积近570平方公里。</w:t>
      </w:r>
    </w:p>
    <w:p>
      <w:pPr>
        <w:spacing w:before="156" w:beforeLines="50" w:line="560" w:lineRule="exact"/>
        <w:ind w:firstLine="640" w:firstLineChars="200"/>
        <w:rPr>
          <w:rFonts w:ascii="Times New Roman" w:hAnsi="Times New Roman" w:eastAsia="楷体_GB2312" w:cs="Times New Roman"/>
          <w:sz w:val="32"/>
          <w:szCs w:val="22"/>
        </w:rPr>
      </w:pPr>
      <w:bookmarkStart w:id="12" w:name="_Toc103617690"/>
      <w:bookmarkStart w:id="13" w:name="_Toc100563927"/>
      <w:r>
        <w:rPr>
          <w:rFonts w:hint="eastAsia" w:ascii="Times New Roman" w:hAnsi="Times New Roman" w:eastAsia="楷体_GB2312" w:cs="Times New Roman"/>
          <w:sz w:val="32"/>
          <w:szCs w:val="22"/>
        </w:rPr>
        <w:t>四、规划依据</w:t>
      </w:r>
      <w:bookmarkEnd w:id="12"/>
      <w:bookmarkEnd w:id="13"/>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hint="eastAsia" w:ascii="Times New Roman" w:hAnsi="Times New Roman" w:eastAsia="仿宋_GB2312" w:cs="Times New Roman"/>
          <w:bCs/>
          <w:sz w:val="32"/>
          <w:szCs w:val="32"/>
        </w:rPr>
        <w:t>法律法规</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《中华人民共和国土地管理法》（2019年修正）</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《中华人民共和国城乡规划法》（2019年修正）</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《中华人民共和国环境保护法》（2014年修正）</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《中华人民共和国乡村振兴促进法》（2021年）</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2.政策文件</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中共中央国务院关于构建更加完善的要素市场化配置体制机制的意见》（2020年）</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景德镇国家陶瓷文化传承创新试验区实施意见</w:t>
      </w:r>
      <w:r>
        <w:rPr>
          <w:rFonts w:ascii="Times New Roman" w:hAnsi="Times New Roman" w:eastAsia="仿宋_GB2312" w:cs="Times New Roman"/>
          <w:bCs/>
          <w:sz w:val="32"/>
          <w:szCs w:val="32"/>
        </w:rPr>
        <w:t>》（20</w:t>
      </w:r>
      <w:r>
        <w:rPr>
          <w:rFonts w:hint="eastAsia" w:ascii="Times New Roman" w:hAnsi="Times New Roman" w:eastAsia="仿宋_GB2312" w:cs="Times New Roman"/>
          <w:bCs/>
          <w:sz w:val="32"/>
          <w:szCs w:val="32"/>
        </w:rPr>
        <w:t>19</w:t>
      </w:r>
      <w:r>
        <w:rPr>
          <w:rFonts w:ascii="Times New Roman" w:hAnsi="Times New Roman" w:eastAsia="仿宋_GB2312" w:cs="Times New Roman"/>
          <w:bCs/>
          <w:sz w:val="32"/>
          <w:szCs w:val="32"/>
        </w:rPr>
        <w:t>年）</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《国务院关于推进国家级经济技术开发区创新提升打造改革开放新高地的意见》（国发〔2019〕11号）</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《国务院关于促进国家高新技术产业开发区高质量发展的若干意见》（国发〔</w:t>
      </w:r>
      <w:r>
        <w:rPr>
          <w:rFonts w:ascii="Times New Roman" w:hAnsi="Times New Roman" w:eastAsia="仿宋_GB2312" w:cs="Times New Roman"/>
          <w:bCs/>
          <w:sz w:val="32"/>
          <w:szCs w:val="32"/>
        </w:rPr>
        <w:t>2020〕7号</w:t>
      </w:r>
      <w:r>
        <w:rPr>
          <w:rFonts w:hint="eastAsia" w:ascii="Times New Roman" w:hAnsi="Times New Roman" w:eastAsia="仿宋_GB2312" w:cs="Times New Roman"/>
          <w:bCs/>
          <w:sz w:val="32"/>
          <w:szCs w:val="32"/>
        </w:rPr>
        <w:t>）</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《国家级经济技术开发区综合发展水平考核评价办法（2021年版）》（商资发〔2021〕188号）</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《关于推动文化产业赋能乡村振兴的意见》（2022年）</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《江西省委、省政府关于贯彻〈景德镇国家陶瓷文化传承创新试验区实施方案〉的意见》（2019年）</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《景德镇国家陶瓷文化传承创新试验区四年行动计划（2022—2025年）》（2022年）</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3.相关规划</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《中共中央关于制定国民经济和社会发展第十四个五年规划和二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三五年远景目标纲要》（</w:t>
      </w:r>
      <w:r>
        <w:rPr>
          <w:rFonts w:hint="eastAsia" w:ascii="Times New Roman" w:hAnsi="Times New Roman" w:eastAsia="仿宋_GB2312" w:cs="Times New Roman"/>
          <w:bCs/>
          <w:sz w:val="32"/>
          <w:szCs w:val="32"/>
        </w:rPr>
        <w:t>2020年）</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《景德镇市国民经济和社会发展第十四个五年规划和二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三五年远景目标纲要》</w:t>
      </w:r>
    </w:p>
    <w:p>
      <w:pPr>
        <w:spacing w:line="560" w:lineRule="exact"/>
        <w:ind w:firstLine="640" w:firstLineChars="200"/>
        <w:rPr>
          <w:rFonts w:hint="eastAsia" w:ascii="仿宋_GB2312" w:hAnsi="仿宋_GB2312" w:eastAsia="仿宋_GB2312" w:cs="仿宋_GB2312"/>
          <w:bCs/>
          <w:sz w:val="32"/>
          <w:szCs w:val="32"/>
        </w:rPr>
      </w:pPr>
      <w:r>
        <w:rPr>
          <w:rFonts w:hint="eastAsia" w:ascii="Times New Roman" w:hAnsi="Times New Roman" w:eastAsia="仿宋_GB2312" w:cs="Times New Roman"/>
          <w:bCs/>
          <w:sz w:val="32"/>
          <w:szCs w:val="32"/>
        </w:rPr>
        <w:t>《浮梁县国民经济和社会发展第十四个五年规划和二</w:t>
      </w:r>
      <w:r>
        <w:rPr>
          <w:rFonts w:hint="eastAsia" w:ascii="微软雅黑" w:hAnsi="微软雅黑" w:eastAsia="微软雅黑" w:cs="微软雅黑"/>
          <w:bCs/>
          <w:sz w:val="32"/>
          <w:szCs w:val="32"/>
        </w:rPr>
        <w:t>〇</w:t>
      </w:r>
      <w:r>
        <w:rPr>
          <w:rFonts w:hint="eastAsia" w:ascii="仿宋_GB2312" w:hAnsi="仿宋_GB2312" w:eastAsia="仿宋_GB2312" w:cs="仿宋_GB2312"/>
          <w:bCs/>
          <w:sz w:val="32"/>
          <w:szCs w:val="32"/>
        </w:rPr>
        <w:t>三五年远景目标纲要》</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景德镇国家陶瓷文化传承创新试验区新平先行区总体发展规划（2021-2035）</w:t>
      </w:r>
      <w:r>
        <w:rPr>
          <w:rFonts w:hint="eastAsia" w:ascii="Times New Roman" w:hAnsi="Times New Roman" w:eastAsia="仿宋_GB2312" w:cs="Times New Roman"/>
          <w:bCs/>
          <w:sz w:val="32"/>
          <w:szCs w:val="32"/>
          <w:lang w:eastAsia="zh-CN"/>
        </w:rPr>
        <w:t>》</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4.其他资料</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rPr>
        <w:t>浮梁县志</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浮梁县统计年鉴、统计公报、政府工作报告</w:t>
      </w:r>
      <w:r>
        <w:rPr>
          <w:rFonts w:hint="eastAsia" w:ascii="Times New Roman" w:hAnsi="Times New Roman" w:eastAsia="仿宋_GB2312" w:cs="Times New Roman"/>
          <w:bCs/>
          <w:sz w:val="32"/>
          <w:szCs w:val="32"/>
          <w:lang w:eastAsia="zh-CN"/>
        </w:rPr>
        <w:t>，</w:t>
      </w:r>
    </w:p>
    <w:p>
      <w:pPr>
        <w:spacing w:line="560" w:lineRule="exac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其他政府文件、会议纪要、企业调研资料等。</w:t>
      </w:r>
    </w:p>
    <w:p>
      <w:pPr>
        <w:widowControl/>
        <w:jc w:val="left"/>
        <w:rPr>
          <w:rFonts w:ascii="Times New Roman" w:hAnsi="Times New Roman" w:eastAsia="黑体" w:cs="Times New Roman"/>
          <w:sz w:val="36"/>
          <w:szCs w:val="36"/>
        </w:rPr>
      </w:pPr>
      <w:bookmarkStart w:id="14" w:name="_Toc99008497"/>
      <w:bookmarkStart w:id="15" w:name="_Toc103617691"/>
      <w:bookmarkStart w:id="16" w:name="_Toc98851801"/>
      <w:r>
        <w:rPr>
          <w:rFonts w:ascii="Times New Roman" w:hAnsi="Times New Roman" w:eastAsia="黑体" w:cs="Times New Roman"/>
          <w:sz w:val="36"/>
          <w:szCs w:val="36"/>
        </w:rPr>
        <w:br w:type="page"/>
      </w:r>
    </w:p>
    <w:p>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17" w:name="_Toc19062"/>
      <w:r>
        <w:rPr>
          <w:rFonts w:hint="eastAsia" w:ascii="Times New Roman" w:hAnsi="Times New Roman" w:eastAsia="黑体" w:cs="Times New Roman"/>
          <w:sz w:val="36"/>
          <w:szCs w:val="36"/>
        </w:rPr>
        <w:t xml:space="preserve">第一章 </w:t>
      </w:r>
      <w:r>
        <w:rPr>
          <w:rFonts w:ascii="Times New Roman" w:hAnsi="Times New Roman" w:eastAsia="黑体" w:cs="Times New Roman"/>
          <w:sz w:val="36"/>
          <w:szCs w:val="36"/>
        </w:rPr>
        <w:t xml:space="preserve"> </w:t>
      </w:r>
      <w:r>
        <w:rPr>
          <w:rFonts w:hint="eastAsia" w:ascii="Times New Roman" w:hAnsi="Times New Roman" w:eastAsia="黑体" w:cs="Times New Roman"/>
          <w:sz w:val="36"/>
          <w:szCs w:val="36"/>
        </w:rPr>
        <w:t>发展基础与环境</w:t>
      </w:r>
      <w:bookmarkEnd w:id="14"/>
      <w:bookmarkEnd w:id="15"/>
      <w:bookmarkEnd w:id="16"/>
      <w:bookmarkEnd w:id="17"/>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18" w:name="_Toc98851802"/>
      <w:bookmarkStart w:id="19" w:name="_Toc75728955"/>
      <w:bookmarkStart w:id="20" w:name="_Toc99008498"/>
      <w:bookmarkStart w:id="21" w:name="_Toc103617692"/>
      <w:bookmarkStart w:id="22" w:name="_Toc25425"/>
      <w:r>
        <w:rPr>
          <w:rFonts w:hint="eastAsia" w:ascii="Times New Roman" w:hAnsi="Times New Roman" w:eastAsia="黑体" w:cs="Times New Roman"/>
          <w:sz w:val="32"/>
          <w:szCs w:val="32"/>
        </w:rPr>
        <w:t xml:space="preserve">第一节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发展</w:t>
      </w:r>
      <w:bookmarkEnd w:id="18"/>
      <w:bookmarkEnd w:id="19"/>
      <w:bookmarkEnd w:id="20"/>
      <w:bookmarkEnd w:id="21"/>
      <w:r>
        <w:rPr>
          <w:rFonts w:hint="eastAsia" w:ascii="Times New Roman" w:hAnsi="Times New Roman" w:eastAsia="黑体" w:cs="Times New Roman"/>
          <w:sz w:val="32"/>
          <w:szCs w:val="32"/>
        </w:rPr>
        <w:t>优势</w:t>
      </w:r>
      <w:bookmarkEnd w:id="22"/>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新平先行区成立以来，深入贯彻习近平总书记视察江西重要讲话精神，坚决把总书记殷殷嘱托转化为强大动力，以高质量跨越式发展为主题，对标对表“五新”战略行动，聚力产业发展，先行先试、自主探索，为产业发展奠定了坚实基础。</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——综合实力较强。</w:t>
      </w:r>
      <w:r>
        <w:rPr>
          <w:rFonts w:hint="eastAsia" w:ascii="Times New Roman" w:hAnsi="Times New Roman" w:eastAsia="仿宋_GB2312" w:cs="Times New Roman"/>
          <w:bCs/>
          <w:sz w:val="32"/>
          <w:szCs w:val="32"/>
        </w:rPr>
        <w:t>2022年先行区“三镇一乡”完成经济收入62</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1亿元，占全县乡镇收入总和1064.1亿元的58.56%；招商引资实际到位额94.41亿元，占全县乡镇总和163.45亿元的57.76%；一般公共预算收入4.12亿元，占全县乡镇一般公共预算收入总和6.15亿元的66.99%；工业企业主营业务收入183.45亿元，占全县乡镇总和219.90亿元的83.42%。</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——资源条件独特。</w:t>
      </w:r>
      <w:r>
        <w:rPr>
          <w:rFonts w:hint="eastAsia" w:ascii="Times New Roman" w:hAnsi="Times New Roman" w:eastAsia="仿宋_GB2312" w:cs="Times New Roman"/>
          <w:bCs/>
          <w:sz w:val="32"/>
          <w:szCs w:val="32"/>
        </w:rPr>
        <w:t>悠久的制瓷历史和丰富的瓷文化遗存是先行区的最大财富，拥有兰田窑、南市街、柳家湾等古瓷（矿）窑址26处，全国重点文物保护单位2处，省级历史文化名村1个，国家级和省级文化产业示范基地2家、非物质文化遗产生产性保护基地4家。有江南唯一保存较完整的古县衙、中国历史名寺宝积寺、宋代红塔、进坑村、皇窑等文化景点，大游山、诸仙洞、龙池等自然景观，897厂、无线电厂等面积较大的现代工业遗存。</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——自然生态优越。</w:t>
      </w:r>
      <w:r>
        <w:rPr>
          <w:rFonts w:hint="eastAsia" w:ascii="Times New Roman" w:hAnsi="Times New Roman" w:eastAsia="仿宋_GB2312" w:cs="Times New Roman"/>
          <w:bCs/>
          <w:sz w:val="32"/>
          <w:szCs w:val="32"/>
        </w:rPr>
        <w:t>先行区生态保护红线面积占国土总面积的79.7%，森林覆盖率达到77%，有湿地公园和自然保护区各2处。昌江、东河、南河、玉田水库等主要水体占总面积的2.1%。主要矿产有瓷石、煤矿、钨矿、大理石等，特别是位于寿安镇的朱溪钨矿，探明资源量286.48万吨，是世界最大钨矿。</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——产业特色鲜明。</w:t>
      </w:r>
      <w:r>
        <w:rPr>
          <w:rFonts w:hint="eastAsia" w:ascii="Times New Roman" w:hAnsi="Times New Roman" w:eastAsia="仿宋_GB2312" w:cs="Times New Roman"/>
          <w:bCs/>
          <w:sz w:val="32"/>
          <w:szCs w:val="32"/>
        </w:rPr>
        <w:t>拥有省级浮梁产业园——三龙</w:t>
      </w:r>
      <w:r>
        <w:rPr>
          <w:rFonts w:hint="eastAsia" w:ascii="Times New Roman" w:hAnsi="Times New Roman" w:eastAsia="仿宋_GB2312" w:cs="Times New Roman"/>
          <w:bCs/>
          <w:sz w:val="32"/>
          <w:szCs w:val="32"/>
          <w:lang w:val="en-US" w:eastAsia="zh-CN"/>
        </w:rPr>
        <w:t>产业园</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北汽配套、</w:t>
      </w:r>
      <w:r>
        <w:rPr>
          <w:rFonts w:hint="eastAsia" w:ascii="Times New Roman" w:hAnsi="Times New Roman" w:eastAsia="仿宋_GB2312" w:cs="Times New Roman"/>
          <w:bCs/>
          <w:sz w:val="32"/>
          <w:szCs w:val="32"/>
        </w:rPr>
        <w:t>湘湖</w:t>
      </w:r>
      <w:r>
        <w:rPr>
          <w:rFonts w:hint="eastAsia" w:ascii="Times New Roman" w:hAnsi="Times New Roman" w:eastAsia="仿宋_GB2312" w:cs="Times New Roman"/>
          <w:bCs/>
          <w:sz w:val="32"/>
          <w:szCs w:val="32"/>
          <w:lang w:val="en-US" w:eastAsia="zh-CN"/>
        </w:rPr>
        <w:t>产业园、以晴</w:t>
      </w:r>
      <w:r>
        <w:rPr>
          <w:rFonts w:ascii="Times New Roman" w:hAnsi="Times New Roman" w:eastAsia="仿宋_GB2312" w:cs="Times New Roman"/>
          <w:bCs/>
          <w:sz w:val="32"/>
          <w:szCs w:val="32"/>
        </w:rPr>
        <w:t>产教融合基地</w:t>
      </w:r>
      <w:r>
        <w:rPr>
          <w:rFonts w:hint="eastAsia" w:ascii="Times New Roman" w:hAnsi="Times New Roman" w:eastAsia="仿宋_GB2312" w:cs="Times New Roman"/>
          <w:bCs/>
          <w:sz w:val="32"/>
          <w:szCs w:val="32"/>
        </w:rPr>
        <w:t>，以及绿色工矿业基地——寿安工业基地等工业平台，初步形成现代陶瓷（先进陶瓷、建筑卫浴陶瓷）、新材料、电子信息、通用航空、金属加工</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汽车零部件加工</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等优势工业产业。以蔬菜、水果、毛竹、花卉、苗木、水稻、油茶等为主的“一村一品”特色农业发展势头良好。文化、旅游、教育、科技、物流、数字经济等生产生活性服务业方兴未艾。</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——发展空间巨大。</w:t>
      </w:r>
      <w:r>
        <w:rPr>
          <w:rFonts w:hint="eastAsia" w:ascii="Times New Roman" w:hAnsi="Times New Roman" w:eastAsia="仿宋_GB2312" w:cs="Times New Roman"/>
          <w:bCs/>
          <w:sz w:val="32"/>
          <w:szCs w:val="32"/>
        </w:rPr>
        <w:t>先行区涉及四个乡镇和一个产业园，总面积57</w:t>
      </w:r>
      <w:r>
        <w:rPr>
          <w:rFonts w:ascii="Times New Roman" w:hAnsi="Times New Roman" w:eastAsia="仿宋_GB2312" w:cs="Times New Roman"/>
          <w:bCs/>
          <w:sz w:val="32"/>
          <w:szCs w:val="32"/>
        </w:rPr>
        <w:t>0</w:t>
      </w:r>
      <w:r>
        <w:rPr>
          <w:rFonts w:hint="eastAsia" w:ascii="Times New Roman" w:hAnsi="Times New Roman" w:eastAsia="仿宋_GB2312" w:cs="Times New Roman"/>
          <w:bCs/>
          <w:sz w:val="32"/>
          <w:szCs w:val="32"/>
        </w:rPr>
        <w:t>平方公里，是国家陶瓷文化传承创新试验区核心区其他四个区（昌江区、珠山区、高新区、昌南新区）的面积总和，是试验区发展的主要拓展片区和未来战略空间。先行区目前有可批建设用地36.5平方公里，未利用地11.6平方公里。先行区内浮梁县城是景德镇市的城市功能片区，区内县城、镇村具有较大并有弹性的发展建设空间。</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——人才集聚度高。</w:t>
      </w:r>
      <w:r>
        <w:rPr>
          <w:rFonts w:hint="eastAsia" w:ascii="Times New Roman" w:hAnsi="Times New Roman" w:eastAsia="仿宋_GB2312" w:cs="Times New Roman"/>
          <w:bCs/>
          <w:sz w:val="32"/>
          <w:szCs w:val="32"/>
          <w:lang w:val="en-US" w:eastAsia="zh-CN"/>
        </w:rPr>
        <w:t>辖区内有</w:t>
      </w:r>
      <w:r>
        <w:rPr>
          <w:rFonts w:hint="eastAsia" w:ascii="Times New Roman" w:hAnsi="Times New Roman" w:eastAsia="仿宋_GB2312" w:cs="Times New Roman"/>
          <w:bCs/>
          <w:sz w:val="32"/>
          <w:szCs w:val="32"/>
        </w:rPr>
        <w:t>景德镇陶瓷大学、景德镇学院、江西工艺美术学院、景德镇陶瓷职业技术学院等４所高校，国家日用及建筑陶瓷工程技术研究中心、先进陶瓷粉体开发及应用中心和蜂窝环保陶瓷材料研究中心等一批研发机构，汇聚了近万名各类人才和4万多名大学生，为创业创新和对外文化交流夯实了基础。</w:t>
      </w:r>
    </w:p>
    <w:p>
      <w:pPr>
        <w:spacing w:line="560" w:lineRule="exact"/>
        <w:ind w:firstLine="640" w:firstLineChars="200"/>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drawing>
          <wp:anchor distT="0" distB="0" distL="114300" distR="114300" simplePos="0" relativeHeight="251659264" behindDoc="0" locked="0" layoutInCell="1" allowOverlap="1">
            <wp:simplePos x="0" y="0"/>
            <wp:positionH relativeFrom="column">
              <wp:posOffset>979170</wp:posOffset>
            </wp:positionH>
            <wp:positionV relativeFrom="paragraph">
              <wp:posOffset>2014220</wp:posOffset>
            </wp:positionV>
            <wp:extent cx="3545205" cy="4782185"/>
            <wp:effectExtent l="0" t="0" r="17145" b="18415"/>
            <wp:wrapNone/>
            <wp:docPr id="1" name="图片 1" descr="页面提取自－新平先行区规划图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面提取自－新平先行区规划图_页面_1"/>
                    <pic:cNvPicPr>
                      <a:picLocks noChangeAspect="1"/>
                    </pic:cNvPicPr>
                  </pic:nvPicPr>
                  <pic:blipFill>
                    <a:blip r:embed="rId16"/>
                    <a:stretch>
                      <a:fillRect/>
                    </a:stretch>
                  </pic:blipFill>
                  <pic:spPr>
                    <a:xfrm>
                      <a:off x="0" y="0"/>
                      <a:ext cx="3545205" cy="4782185"/>
                    </a:xfrm>
                    <a:prstGeom prst="rect">
                      <a:avLst/>
                    </a:prstGeom>
                  </pic:spPr>
                </pic:pic>
              </a:graphicData>
            </a:graphic>
          </wp:anchor>
        </w:drawing>
      </w:r>
      <w:r>
        <w:rPr>
          <w:rFonts w:hint="eastAsia" w:ascii="Times New Roman" w:hAnsi="Times New Roman" w:eastAsia="仿宋_GB2312" w:cs="Times New Roman"/>
          <w:b/>
          <w:sz w:val="32"/>
          <w:szCs w:val="32"/>
        </w:rPr>
        <w:t>——区位交通便利。</w:t>
      </w:r>
      <w:r>
        <w:rPr>
          <w:rFonts w:hint="eastAsia" w:ascii="Times New Roman" w:hAnsi="Times New Roman" w:eastAsia="仿宋_GB2312" w:cs="Times New Roman"/>
          <w:bCs/>
          <w:sz w:val="32"/>
          <w:szCs w:val="32"/>
        </w:rPr>
        <w:t>地处景德镇城市腹地，南北连通，东西延展，位于景德镇高速公路东</w:t>
      </w:r>
      <w:r>
        <w:rPr>
          <w:rFonts w:hint="eastAsia" w:ascii="Times New Roman" w:hAnsi="Times New Roman" w:eastAsia="仿宋_GB2312" w:cs="Times New Roman"/>
          <w:bCs/>
          <w:sz w:val="32"/>
          <w:szCs w:val="32"/>
          <w:lang w:val="en-US" w:eastAsia="zh-CN"/>
        </w:rPr>
        <w:t>出口</w:t>
      </w:r>
      <w:r>
        <w:rPr>
          <w:rFonts w:hint="eastAsia" w:ascii="Times New Roman" w:hAnsi="Times New Roman" w:eastAsia="仿宋_GB2312" w:cs="Times New Roman"/>
          <w:bCs/>
          <w:sz w:val="32"/>
          <w:szCs w:val="32"/>
        </w:rPr>
        <w:t>、北出口、铁路站、机场等“半小时交通圈”，是景德镇“东大门”和“北大门”。杭瑞高速横贯东西，昌景黄高铁、九景衢高铁穿境而过。国道、省道与城市道路紧密相连，形成了四通八达的道路交通网络。</w:t>
      </w: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pStyle w:val="7"/>
        <w:rPr>
          <w:rFonts w:hint="eastAsia" w:ascii="Times New Roman" w:hAnsi="Times New Roman" w:eastAsia="黑体" w:cs="Times New Roman"/>
          <w:sz w:val="32"/>
          <w:szCs w:val="32"/>
        </w:rPr>
      </w:pPr>
    </w:p>
    <w:p>
      <w:pPr>
        <w:pStyle w:val="8"/>
        <w:rPr>
          <w:rFonts w:hint="eastAsia" w:ascii="Times New Roman" w:hAnsi="Times New Roman" w:eastAsia="黑体" w:cs="Times New Roman"/>
          <w:sz w:val="32"/>
          <w:szCs w:val="32"/>
        </w:rPr>
      </w:pPr>
    </w:p>
    <w:p>
      <w:pPr>
        <w:pStyle w:val="9"/>
        <w:rPr>
          <w:rFonts w:hint="eastAsia" w:ascii="Times New Roman" w:hAnsi="Times New Roman" w:eastAsia="黑体" w:cs="Times New Roman"/>
          <w:sz w:val="32"/>
          <w:szCs w:val="32"/>
        </w:rPr>
      </w:pPr>
    </w:p>
    <w:p>
      <w:pPr>
        <w:keepNext w:val="0"/>
        <w:keepLines w:val="0"/>
        <w:pageBreakBefore w:val="0"/>
        <w:widowControl w:val="0"/>
        <w:tabs>
          <w:tab w:val="left" w:pos="2268"/>
        </w:tabs>
        <w:kinsoku/>
        <w:wordWrap/>
        <w:overflowPunct/>
        <w:topLinePunct w:val="0"/>
        <w:autoSpaceDE/>
        <w:autoSpaceDN/>
        <w:bidi w:val="0"/>
        <w:adjustRightInd w:val="0"/>
        <w:snapToGrid w:val="0"/>
        <w:spacing w:before="313" w:beforeLines="100" w:line="360" w:lineRule="auto"/>
        <w:jc w:val="center"/>
        <w:textAlignment w:val="auto"/>
        <w:outlineLvl w:val="1"/>
        <w:rPr>
          <w:rFonts w:hint="eastAsia" w:ascii="仿宋" w:hAnsi="仿宋" w:eastAsia="仿宋" w:cs="仿宋"/>
          <w:sz w:val="28"/>
          <w:szCs w:val="28"/>
          <w:lang w:val="en-US" w:eastAsia="zh-CN"/>
        </w:rPr>
      </w:pPr>
      <w:bookmarkStart w:id="23" w:name="_Toc17407"/>
      <w:bookmarkStart w:id="24" w:name="_Toc31107"/>
      <w:bookmarkStart w:id="25" w:name="_Toc16505"/>
      <w:r>
        <w:rPr>
          <w:rFonts w:hint="eastAsia" w:ascii="仿宋" w:hAnsi="仿宋" w:eastAsia="仿宋" w:cs="仿宋"/>
          <w:sz w:val="28"/>
          <w:szCs w:val="28"/>
          <w:lang w:val="en-US" w:eastAsia="zh-CN"/>
        </w:rPr>
        <w:t>图1：新平先行区区位示意图</w:t>
      </w:r>
      <w:bookmarkEnd w:id="23"/>
      <w:bookmarkEnd w:id="24"/>
      <w:bookmarkEnd w:id="25"/>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26" w:name="_Toc19974"/>
      <w:r>
        <w:rPr>
          <w:rFonts w:hint="eastAsia" w:ascii="Times New Roman" w:hAnsi="Times New Roman" w:eastAsia="黑体" w:cs="Times New Roman"/>
          <w:sz w:val="32"/>
          <w:szCs w:val="32"/>
        </w:rPr>
        <w:t>第二节  存在问题</w:t>
      </w:r>
      <w:bookmarkEnd w:id="26"/>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——产业层次</w:t>
      </w:r>
      <w:r>
        <w:rPr>
          <w:rFonts w:hint="eastAsia" w:ascii="Times New Roman" w:hAnsi="Times New Roman" w:eastAsia="仿宋_GB2312" w:cs="Times New Roman"/>
          <w:b/>
          <w:sz w:val="32"/>
          <w:szCs w:val="32"/>
          <w:lang w:val="en-US" w:eastAsia="zh-CN"/>
        </w:rPr>
        <w:t>较低</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相比国内陶瓷产业发达地区和景德镇市内其他</w:t>
      </w:r>
      <w:r>
        <w:rPr>
          <w:rFonts w:hint="eastAsia" w:ascii="Times New Roman" w:hAnsi="Times New Roman" w:eastAsia="仿宋_GB2312" w:cs="Times New Roman"/>
          <w:bCs/>
          <w:sz w:val="32"/>
          <w:szCs w:val="32"/>
          <w:lang w:val="en-US" w:eastAsia="zh-CN"/>
        </w:rPr>
        <w:t>区域</w:t>
      </w:r>
      <w:r>
        <w:rPr>
          <w:rFonts w:hint="eastAsia" w:ascii="Times New Roman" w:hAnsi="Times New Roman" w:eastAsia="仿宋_GB2312" w:cs="Times New Roman"/>
          <w:bCs/>
          <w:sz w:val="32"/>
          <w:szCs w:val="32"/>
        </w:rPr>
        <w:t>，先行区陶瓷产业规模不够大、规模以上企业不够多、产业门类不够丰富、产业生态尚不成熟，具有龙头带动作用的项目较少，无国家级“专精特新”企业，省级“专精特新”企业</w:t>
      </w:r>
      <w:r>
        <w:rPr>
          <w:rFonts w:hint="eastAsia" w:ascii="Times New Roman" w:hAnsi="Times New Roman" w:eastAsia="仿宋_GB2312" w:cs="Times New Roman"/>
          <w:bCs/>
          <w:sz w:val="32"/>
          <w:szCs w:val="32"/>
          <w:lang w:val="en-US" w:eastAsia="zh-CN"/>
        </w:rPr>
        <w:t>尽管有10家、只占规模以上企业比不足20%，</w:t>
      </w:r>
      <w:r>
        <w:rPr>
          <w:rFonts w:hint="eastAsia" w:ascii="Times New Roman" w:hAnsi="Times New Roman" w:eastAsia="仿宋_GB2312" w:cs="Times New Roman"/>
          <w:bCs/>
          <w:sz w:val="32"/>
          <w:szCs w:val="32"/>
        </w:rPr>
        <w:t>“瞪羚”企业仅景龙一家，无独角兽、潜在独角兽企业。陶瓷以外其他工业的产业规模较小、缺乏龙头带动大企业、大项目。</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——创新能力</w:t>
      </w:r>
      <w:r>
        <w:rPr>
          <w:rFonts w:hint="eastAsia" w:ascii="Times New Roman" w:hAnsi="Times New Roman" w:eastAsia="仿宋_GB2312" w:cs="Times New Roman"/>
          <w:b/>
          <w:sz w:val="32"/>
          <w:szCs w:val="32"/>
          <w:lang w:val="en-US" w:eastAsia="zh-CN"/>
        </w:rPr>
        <w:t>不强</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先进陶瓷主要集中在新能源氧化铝陶瓷，其他门类先进陶瓷发展相对滞后、新技术应用相对缓慢、新产品开发动力不足。陶瓷科研机构力量分散，</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产学研用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一体化程度低，缺乏高能级设计服务平台，文化创意产业发育不足，氛围不浓，新产品、新业态、新模式成长不够，暂无立足于新经济的哪吒企业。</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——人才引力</w:t>
      </w:r>
      <w:r>
        <w:rPr>
          <w:rFonts w:hint="eastAsia" w:ascii="Times New Roman" w:hAnsi="Times New Roman" w:eastAsia="仿宋_GB2312" w:cs="Times New Roman"/>
          <w:b/>
          <w:sz w:val="32"/>
          <w:szCs w:val="32"/>
          <w:lang w:val="en-US" w:eastAsia="zh-CN"/>
        </w:rPr>
        <w:t>较弱</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尽管区域内四所高校可以培养输送大量人才，但吸引留住人才的平台和政策力度相对不足。陶瓷产业转型升级和高端化、国际化发展所需要的经营、研发、设计、金融、营销、商务等人才严重缺乏，区内“景漂”“洋景漂”等创新创业人才集聚相对于</w:t>
      </w:r>
      <w:r>
        <w:rPr>
          <w:rFonts w:hint="eastAsia" w:ascii="Times New Roman" w:hAnsi="Times New Roman" w:eastAsia="仿宋_GB2312" w:cs="Times New Roman"/>
          <w:bCs/>
          <w:sz w:val="32"/>
          <w:szCs w:val="32"/>
          <w:lang w:val="en-US" w:eastAsia="zh-CN"/>
        </w:rPr>
        <w:t>珠山区、昌江区等</w:t>
      </w:r>
      <w:r>
        <w:rPr>
          <w:rFonts w:hint="eastAsia" w:ascii="Times New Roman" w:hAnsi="Times New Roman" w:eastAsia="仿宋_GB2312" w:cs="Times New Roman"/>
          <w:bCs/>
          <w:sz w:val="32"/>
          <w:szCs w:val="32"/>
        </w:rPr>
        <w:t>较薄弱。</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——国际影响</w:t>
      </w:r>
      <w:r>
        <w:rPr>
          <w:rFonts w:hint="eastAsia" w:ascii="Times New Roman" w:hAnsi="Times New Roman" w:eastAsia="仿宋_GB2312" w:cs="Times New Roman"/>
          <w:b/>
          <w:sz w:val="32"/>
          <w:szCs w:val="32"/>
          <w:lang w:val="en-US" w:eastAsia="zh-CN"/>
        </w:rPr>
        <w:t>较小</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有世界级的陶瓷历史文化资源，但缺少世界级文化旅游产品</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世界级陶瓷品牌企业</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世界级文化教育科研交流活动平台</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国际化投资贸易促进平台和配套服务设施，国际知名度、影响力不够大。</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——城市能级</w:t>
      </w:r>
      <w:r>
        <w:rPr>
          <w:rFonts w:hint="eastAsia" w:ascii="Times New Roman" w:hAnsi="Times New Roman" w:eastAsia="仿宋_GB2312" w:cs="Times New Roman"/>
          <w:b/>
          <w:sz w:val="32"/>
          <w:szCs w:val="32"/>
          <w:lang w:val="en-US" w:eastAsia="zh-CN"/>
        </w:rPr>
        <w:t>偏低</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县城建设相对规模不大、功能较弱、品位较低，与景德镇市区深度融合和功能互补不够，住宿、餐饮、商业、文化、医疗、休闲等服务设施存在差距，城市建设品质不够高，集聚产业和人口的能级明显不足，对区域辐射力不强。</w:t>
      </w: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27" w:name="_Toc8644"/>
      <w:r>
        <w:rPr>
          <w:rFonts w:hint="eastAsia" w:ascii="Times New Roman" w:hAnsi="Times New Roman" w:eastAsia="黑体" w:cs="Times New Roman"/>
          <w:sz w:val="32"/>
          <w:szCs w:val="32"/>
        </w:rPr>
        <w:t>第三节  发展机遇</w:t>
      </w:r>
      <w:bookmarkEnd w:id="27"/>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——新一轮科技和产业变革融合演进孕育新旧动能转换新机遇。</w:t>
      </w:r>
      <w:r>
        <w:rPr>
          <w:rFonts w:hint="eastAsia" w:ascii="Times New Roman" w:hAnsi="Times New Roman" w:eastAsia="仿宋_GB2312" w:cs="Times New Roman"/>
          <w:bCs/>
          <w:sz w:val="32"/>
          <w:szCs w:val="32"/>
        </w:rPr>
        <w:t>新一轮科技革命和产业变革正在加速演进，以数字技术、生物技术、材料技术、能源技术等为代表的前沿技术呈现多点突破态势，正在形成多技术群相互支撑、齐头并进的链式变革，新兴产业有望成为引领未来产业发展的新标杆、新动力。同时，数字化正加速向产业经济各领域渗透，智能制造、共享经济、平台经济、创意经济、新零售、新金融等新模式新业态持续涌现，原有相对封闭的生产流程、服务业态和价值创造模式将进一步被革新。新平先行区不具备核心城市圈层的地缘优势，难以规模化发展和形成战略性新兴产业集群，但可以通过融入新兴产业组织体系，在细分领域和具体产品生产方面获得新的发展机会。更重要的是，可以通过实施“数字经济”一号发展工程，加速5G、大数据、云计算、物联网等数字技术在产业发展各环节融入，推广智能工厂、工业互联网、共享经济、大数据精准服务等新模式新业态推广，加速生产方式、组织方式变革，为产业发展赋予新动能。</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——美好生活需求和扩大内需政策拓宽产业高质量发展新空间。</w:t>
      </w:r>
      <w:r>
        <w:rPr>
          <w:rFonts w:hint="eastAsia" w:ascii="Times New Roman" w:hAnsi="Times New Roman" w:eastAsia="仿宋_GB2312" w:cs="Times New Roman"/>
          <w:bCs/>
          <w:sz w:val="32"/>
          <w:szCs w:val="32"/>
        </w:rPr>
        <w:t>随着我国经济社会持续快速发展和居民收入水平的不断提高，人们消费对象重点加速转向旅游、文化、娱乐、体育等精神层面，对产品和服务的需求已经从数量型需求转向质量型需求。在国内大循环为主的“双循环”新发展格局下，消费市场总体规模增速稳中趋缓，消费升级对国内产品和服务供给也提出更高要求，倒逼供给侧市场的结构性改革和高质量发展。新平先行区毗邻景德镇市主城区，在国内中等收入人群不断壮大、消费升级步入新阶段趋势下，具备消费端升级推动产业结构升级和高质量发展的机遇，有利于新平先行区加快发展旅游、文化创意、优质农业等生态优势产业，也有利于倒逼新平先行区干部群众激发新时代创业创新精神，以高质量发展为导向，加速传统产业转型升级，持续赢得新的市场竞争优势。</w:t>
      </w:r>
    </w:p>
    <w:p>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——区域经济一体化全面加速为构筑现代产业体系提供新方位。</w:t>
      </w:r>
      <w:r>
        <w:rPr>
          <w:rFonts w:hint="eastAsia" w:ascii="Times New Roman" w:hAnsi="Times New Roman" w:eastAsia="仿宋_GB2312" w:cs="Times New Roman"/>
          <w:bCs/>
          <w:sz w:val="32"/>
          <w:szCs w:val="32"/>
        </w:rPr>
        <w:t>全球化曲折前行中的“一带一路”建设深入推进，我国“制造强国”战略稳步推进并将带动服务贸易的快速崛起。长三角区域一体化发展有助于长三角地区成为全国经济发展强劲活跃的增长极，同时，“轨道上的都市”拉近了各城市之间的物理空间，将进一步破除行政壁垒对生产要素合理流动和有效配置的影响。新平先行区地处对接长三角和粤闽浙沿海城市群的前沿，有条件在发展更高层次的开放型经济，打造对接长三角一体化发展先行区、承接东部沿海先进制造业转移基地、国际文化旅游和康养休闲胜地建设、重构区域现代产业体系的过程中，形成具有先行区自身特色和市场竞争力的产业体系。同时，新平先行区与景德镇主城区融合发展得到省、市领导和政府部门的大力支持，有机会在产业项目导入和资源要素保障方面获得一定的优惠扶持。</w:t>
      </w:r>
    </w:p>
    <w:p>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w:t>
      </w:r>
      <w:r>
        <w:rPr>
          <w:rFonts w:hint="eastAsia" w:ascii="Times New Roman" w:hAnsi="Times New Roman" w:eastAsia="仿宋_GB2312" w:cs="Times New Roman"/>
          <w:b/>
          <w:sz w:val="32"/>
          <w:szCs w:val="32"/>
          <w:lang w:val="en-US" w:eastAsia="zh-CN"/>
        </w:rPr>
        <w:t>一系列</w:t>
      </w:r>
      <w:r>
        <w:rPr>
          <w:rFonts w:hint="eastAsia" w:ascii="Times New Roman" w:hAnsi="Times New Roman" w:eastAsia="仿宋_GB2312" w:cs="Times New Roman"/>
          <w:b/>
          <w:sz w:val="32"/>
          <w:szCs w:val="32"/>
        </w:rPr>
        <w:t>国家战略和省市决策部署提供新指引。</w:t>
      </w:r>
      <w:r>
        <w:rPr>
          <w:rFonts w:hint="eastAsia" w:ascii="Times New Roman" w:hAnsi="Times New Roman" w:eastAsia="仿宋_GB2312" w:cs="Times New Roman"/>
          <w:bCs/>
          <w:sz w:val="32"/>
          <w:szCs w:val="32"/>
        </w:rPr>
        <w:t>“十四五”时期是我国开启全面社会主义现代化建设的起步期，“五位一体”总体布局、“四个全面”战略布局和新时代强国战略，尤其是文化强国、乡村振兴、美丽中国、“双循环”新发展格局等战略部署和政策支持，为新平先行区发展提供了新的指引。新平先行区作为文化资源富集区，拥有陶瓷、生态、衙署等文化资源，随着国家陶瓷文化传承创新试验区一批重大项目相继落地等，将为新平先行区产业发展带来重大机遇，也将带来新平先行区现代产业体系重构契机。同时，浮梁县长期坚持“景德镇后花园”这一发展总目标，聚焦聚力全域景观化建设、全域旅游化发展，大力推进乡村振兴示范带为核心载体的乡村振兴和美丽经济发展，在产业平台建设和重大项目导入方面取得了较大进展，必将带动新平先行区重点产业的快速发展，进而形成全域突破、全产业链提升的发展新格局。</w:t>
      </w:r>
    </w:p>
    <w:p>
      <w:pPr>
        <w:keepNext w:val="0"/>
        <w:keepLines w:val="0"/>
        <w:pageBreakBefore w:val="0"/>
        <w:widowControl w:val="0"/>
        <w:tabs>
          <w:tab w:val="left" w:pos="2268"/>
        </w:tabs>
        <w:kinsoku/>
        <w:wordWrap/>
        <w:overflowPunct/>
        <w:topLinePunct w:val="0"/>
        <w:autoSpaceDE/>
        <w:autoSpaceDN/>
        <w:bidi w:val="0"/>
        <w:adjustRightInd w:val="0"/>
        <w:snapToGrid w:val="0"/>
        <w:spacing w:before="156" w:beforeLines="50" w:line="550" w:lineRule="exact"/>
        <w:jc w:val="center"/>
        <w:textAlignment w:val="auto"/>
        <w:outlineLvl w:val="1"/>
        <w:rPr>
          <w:rFonts w:ascii="Times New Roman" w:hAnsi="Times New Roman" w:eastAsia="黑体" w:cs="Times New Roman"/>
          <w:sz w:val="32"/>
          <w:szCs w:val="32"/>
        </w:rPr>
      </w:pPr>
      <w:bookmarkStart w:id="28" w:name="_Toc112158173"/>
      <w:bookmarkStart w:id="29" w:name="_Toc12047"/>
      <w:r>
        <w:rPr>
          <w:rFonts w:hint="eastAsia" w:ascii="Times New Roman" w:hAnsi="Times New Roman" w:eastAsia="黑体" w:cs="Times New Roman"/>
          <w:sz w:val="32"/>
          <w:szCs w:val="32"/>
        </w:rPr>
        <w:t>第四节  面临挑战</w:t>
      </w:r>
      <w:bookmarkEnd w:id="28"/>
      <w:bookmarkEnd w:id="29"/>
    </w:p>
    <w:p>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——“逆全球化”与“两端挤压”造成国际分工失调与产业流失。</w:t>
      </w:r>
      <w:r>
        <w:rPr>
          <w:rFonts w:hint="eastAsia" w:ascii="Times New Roman" w:hAnsi="Times New Roman" w:eastAsia="仿宋_GB2312" w:cs="Times New Roman"/>
          <w:bCs/>
          <w:sz w:val="32"/>
          <w:szCs w:val="32"/>
        </w:rPr>
        <w:t>近年来，以美国为代表的发达国家为了保持本国产业的国际竞争力，采取了更多的贸易和投资保护措施，世界范围</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逆全球化</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暗流涌动。出口增长受到抑制，外资对全球产业分工信心的动摇导致供应链外迁加剧，“科技冷战”增加了技术获得与产业升级的难度。同时，我国产业面临发展中国家和发达国家的“两端挤压”，许多发展中国家利用要素低成本优势，积极吸引全球劳动密集型产业和低附加值环节的转移，另一方面，随着我国产业向全球价值链中高端升级，产业谱系与发达国家的重叠度进一步提高，由产业上下游分工的协作关系逐步转变为同一产业链环节的竞争关系，中国产业将面临来自发达国家企业日益加剧的竞争与发达国家政府的阻击。</w:t>
      </w:r>
    </w:p>
    <w:p>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——资源环境和要素约束日益趋紧。</w:t>
      </w:r>
      <w:r>
        <w:rPr>
          <w:rFonts w:hint="eastAsia" w:ascii="Times New Roman" w:hAnsi="Times New Roman" w:eastAsia="仿宋_GB2312" w:cs="Times New Roman"/>
          <w:bCs/>
          <w:sz w:val="32"/>
          <w:szCs w:val="32"/>
        </w:rPr>
        <w:t>市场有效需求不足、融资困难、经济下行，导致企业投资大幅下降，很多企业暂时搁置或放弃业务扩展计划，吸引外来企业投资难度加大。招商引资所涉及的土地、劳动力等生产要素资源以及环保要求不断提高制约着招商引资。</w:t>
      </w:r>
    </w:p>
    <w:p>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——国内地区竞争越来越激烈。</w:t>
      </w:r>
      <w:r>
        <w:rPr>
          <w:rFonts w:hint="eastAsia" w:ascii="Times New Roman" w:hAnsi="Times New Roman" w:eastAsia="仿宋_GB2312" w:cs="Times New Roman"/>
          <w:bCs/>
          <w:sz w:val="32"/>
          <w:szCs w:val="32"/>
        </w:rPr>
        <w:t>广东佛山的建筑卫生陶瓷、潮州的工艺瓷，福建德化的西洋工艺瓷、醴陵的日用瓷及先进陶瓷，河北唐山的卫生陶瓷、山东淄博的先进陶瓷等陶瓷产区群雄并起、各有千秋，还有江西省内黎川、高安、丰城、萍乡等地的各具特色陶瓷产业的发展，都对景德镇和先行区陶瓷产业发展构成有力竞争，如何传承创新、突破重围、构建竞争新优势，是一个紧迫的课题。</w:t>
      </w:r>
    </w:p>
    <w:p>
      <w:pPr>
        <w:keepNext w:val="0"/>
        <w:keepLines w:val="0"/>
        <w:pageBreakBefore w:val="0"/>
        <w:widowControl w:val="0"/>
        <w:kinsoku/>
        <w:wordWrap/>
        <w:overflowPunct/>
        <w:topLinePunct w:val="0"/>
        <w:autoSpaceDE/>
        <w:autoSpaceDN/>
        <w:bidi w:val="0"/>
        <w:spacing w:line="55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——区域虹吸效应可能带来的挑战。</w:t>
      </w:r>
      <w:r>
        <w:rPr>
          <w:rFonts w:hint="eastAsia" w:ascii="Times New Roman" w:hAnsi="Times New Roman" w:eastAsia="仿宋_GB2312" w:cs="Times New Roman"/>
          <w:bCs/>
          <w:sz w:val="32"/>
          <w:szCs w:val="32"/>
        </w:rPr>
        <w:t>新平先行区在景德镇域内与昌南新区、珠山区同质化程度较高，而两区地处主城区，较先行区而言在人才、资源、要素等方面更加顺畅、更加便捷地流动，将对新平先行区产生较大的虹吸效应。</w:t>
      </w: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30" w:name="_Toc13455"/>
      <w:r>
        <w:rPr>
          <w:rFonts w:hint="eastAsia" w:ascii="Times New Roman" w:hAnsi="Times New Roman" w:eastAsia="黑体" w:cs="Times New Roman"/>
          <w:sz w:val="36"/>
          <w:szCs w:val="36"/>
        </w:rPr>
        <w:t>第二章  总体要求</w:t>
      </w:r>
      <w:bookmarkEnd w:id="30"/>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1" w:name="_Toc1819"/>
      <w:r>
        <w:rPr>
          <w:rFonts w:hint="eastAsia" w:ascii="Times New Roman" w:hAnsi="Times New Roman" w:eastAsia="黑体" w:cs="Times New Roman"/>
          <w:sz w:val="32"/>
          <w:szCs w:val="32"/>
        </w:rPr>
        <w:t>第一节  指导思想</w:t>
      </w:r>
      <w:bookmarkEnd w:id="31"/>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习近平新时代中国特色社会主义思想为指导，全面贯彻党的二十大和二十届二中全会精神，深入学习落实习近平总书记视察江西重要讲话，牢记习近平总书记“建好景德镇国家陶瓷文化传承创新试验区，打造对外文化交流新平台”的殷殷嘱托，抢抓江西内陆开放型试验区、景德镇陶瓷文化传承创新试验区建设等重大战略</w:t>
      </w:r>
      <w:r>
        <w:rPr>
          <w:rFonts w:hint="eastAsia" w:ascii="Times New Roman" w:hAnsi="Times New Roman" w:eastAsia="仿宋_GB2312" w:cs="Times New Roman"/>
          <w:bCs/>
          <w:sz w:val="32"/>
          <w:szCs w:val="32"/>
          <w:lang w:val="en-US" w:eastAsia="zh-CN"/>
        </w:rPr>
        <w:t>机遇</w:t>
      </w:r>
      <w:r>
        <w:rPr>
          <w:rFonts w:hint="eastAsia" w:ascii="Times New Roman" w:hAnsi="Times New Roman" w:eastAsia="仿宋_GB2312" w:cs="Times New Roman"/>
          <w:bCs/>
          <w:sz w:val="32"/>
          <w:szCs w:val="32"/>
        </w:rPr>
        <w:t>，牢固树立新发展理念，以推动高质量发展为根本要求，以供给侧结构性改革为主线，围绕县委县政府确定的“3+N”特色产业体系，做优做强现代陶瓷、新材料两大特色优势产业，培育壮大电子信息、通用航空、文化旅游、现代农业等潜力产业，协同发展现代服务业，为国家陶瓷文化传承创新试验区“五年树标杆”，浮梁县全面打造高质量跨越式发展试验区、“绿水青山就是金山银山”转化创新区、城乡融合发展样板区贡献力量。</w:t>
      </w: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2" w:name="_Toc25792"/>
      <w:r>
        <w:rPr>
          <w:rFonts w:hint="eastAsia" w:ascii="Times New Roman" w:hAnsi="Times New Roman" w:eastAsia="黑体" w:cs="Times New Roman"/>
          <w:sz w:val="32"/>
          <w:szCs w:val="32"/>
        </w:rPr>
        <w:t>第二节  基本原则</w:t>
      </w:r>
      <w:bookmarkEnd w:id="32"/>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——坚持特色发展。</w:t>
      </w:r>
      <w:r>
        <w:rPr>
          <w:rFonts w:hint="eastAsia" w:ascii="Times New Roman" w:hAnsi="Times New Roman" w:eastAsia="仿宋_GB2312" w:cs="Times New Roman"/>
          <w:bCs/>
          <w:sz w:val="32"/>
          <w:szCs w:val="32"/>
        </w:rPr>
        <w:t>充分挖掘新平先行区产业基础、资源环境、交通区位等优势，培育壮大现代陶瓷、新材料、电子信息、通用航空、文化旅游、现代农业、现代服务业等支柱产业；加大力度推进新型工业化进程，重点做强现代陶瓷、新材料等先进制造业和战略新兴产业，重塑产业竞争新优势，加速形成符合新平先行区特色优势的现代产业体系。</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——坚持创新发展。</w:t>
      </w:r>
      <w:r>
        <w:rPr>
          <w:rFonts w:hint="eastAsia" w:ascii="Times New Roman" w:hAnsi="Times New Roman" w:eastAsia="仿宋_GB2312" w:cs="Times New Roman"/>
          <w:bCs/>
          <w:sz w:val="32"/>
          <w:szCs w:val="32"/>
        </w:rPr>
        <w:t>坚持把创新驱动作为首位战略，面向新一代信息技术、新材料、新工艺等新技术应用和产业化发展，针对性加强以市场为导向、企业为主体、</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产学研用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深度融合的科技创新体系建设，整体推进传统产业数字化改造和高级化发展，加速培育一批具有竞争力的“四新经济”，加速推动产业链再造和价值链提升，进一步促进产业集群创新发展，切实增强产业核心竞争力和产业链供应链韧性。</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——坚持融合发展。</w:t>
      </w:r>
      <w:r>
        <w:rPr>
          <w:rFonts w:hint="eastAsia" w:ascii="Times New Roman" w:hAnsi="Times New Roman" w:eastAsia="仿宋_GB2312" w:cs="Times New Roman"/>
          <w:bCs/>
          <w:sz w:val="32"/>
          <w:szCs w:val="32"/>
        </w:rPr>
        <w:t>坚持推进先进制造业和现代服务业“两业融合”、农村一、二、三产业融合、产城融合发展，探索培育一批基于“一心五园六区四带”总体格局、重点行业重点领域融合发展，具有创新活跃、效益显著、质量卓越、带动效应突出等特征的深度融合发展企业、行业和平台，不断完善产业生态，成为推动浮梁高质量跨越发展的重要支撑。</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——坚持开放发展。</w:t>
      </w:r>
      <w:r>
        <w:rPr>
          <w:rFonts w:hint="eastAsia" w:ascii="Times New Roman" w:hAnsi="Times New Roman" w:eastAsia="仿宋_GB2312" w:cs="Times New Roman"/>
          <w:bCs/>
          <w:sz w:val="32"/>
          <w:szCs w:val="32"/>
        </w:rPr>
        <w:t>牢牢把握扩大内需、扩大开放两大战略基点，深化要素市场化配置改革和营商环境法治化、国际化、便利化建设，全域全方位融入景德镇国家陶瓷文化传承创新试验区和新型人文城市建设，积极塑造文化保护传承示范区、产业创新发展引领区、文化旅游休闲区、国际文化交流合作先行区</w:t>
      </w:r>
      <w:r>
        <w:rPr>
          <w:rFonts w:hint="eastAsia" w:ascii="Times New Roman" w:hAnsi="Times New Roman" w:eastAsia="仿宋_GB2312" w:cs="Times New Roman"/>
          <w:bCs/>
          <w:sz w:val="32"/>
          <w:szCs w:val="32"/>
          <w:lang w:val="en-US" w:eastAsia="zh-CN"/>
        </w:rPr>
        <w:t>等</w:t>
      </w:r>
      <w:r>
        <w:rPr>
          <w:rFonts w:hint="eastAsia" w:ascii="Times New Roman" w:hAnsi="Times New Roman" w:eastAsia="仿宋_GB2312" w:cs="Times New Roman"/>
          <w:bCs/>
          <w:sz w:val="32"/>
          <w:szCs w:val="32"/>
        </w:rPr>
        <w:t>品牌形象，通过区域协同、内外开放、共同促进、共同发展，在开放型经济体系建构中促进产业链供应链更加安全。</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——坚持绿色发展。</w:t>
      </w:r>
      <w:r>
        <w:rPr>
          <w:rFonts w:hint="eastAsia" w:ascii="Times New Roman" w:hAnsi="Times New Roman" w:eastAsia="仿宋_GB2312" w:cs="Times New Roman"/>
          <w:bCs/>
          <w:sz w:val="32"/>
          <w:szCs w:val="32"/>
        </w:rPr>
        <w:t>严守生态安全、留住绿水青山，着力优化产业发展布局，着力促进产业技术进步，统筹提高绿色产业占比、清洁生产水平和资源集约利用程度，从“高消耗高排放增长”转向高质量发展，切实把生态优势转化为经济优势，让人民群众享受到生态环境和生态经济带来的双重红利，构建特色产业绿色发展新局面。</w:t>
      </w: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3" w:name="_Toc4260"/>
      <w:r>
        <w:rPr>
          <w:rFonts w:hint="eastAsia" w:ascii="Times New Roman" w:hAnsi="Times New Roman" w:eastAsia="黑体" w:cs="Times New Roman"/>
          <w:sz w:val="32"/>
          <w:szCs w:val="32"/>
        </w:rPr>
        <w:t>第三节  发展目标</w:t>
      </w:r>
      <w:bookmarkEnd w:id="33"/>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新平先行区特色产业发展的总体目标是着力优化产业结构、丰富发展内涵、培育优质企业，进一步做大做优做强 产业</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具体目标：</w:t>
      </w:r>
    </w:p>
    <w:p>
      <w:pPr>
        <w:spacing w:line="560" w:lineRule="exact"/>
        <w:ind w:firstLine="643"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
          <w:sz w:val="32"/>
          <w:szCs w:val="32"/>
        </w:rPr>
        <w:t>——</w:t>
      </w:r>
      <w:r>
        <w:rPr>
          <w:rFonts w:hint="eastAsia" w:ascii="Times New Roman" w:hAnsi="Times New Roman" w:eastAsia="仿宋_GB2312" w:cs="Times New Roman"/>
          <w:b/>
          <w:sz w:val="32"/>
          <w:szCs w:val="32"/>
          <w:lang w:val="en-US" w:eastAsia="zh-CN"/>
        </w:rPr>
        <w:t>经济总量上台阶</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“十四五”期间，进一步延伸现代陶瓷、新材料、电子信息、通用航空等产业链，提高产品附加值，力争产业产值迈上一个新台阶。到2025年，全域</w:t>
      </w:r>
      <w:r>
        <w:rPr>
          <w:rFonts w:hint="eastAsia" w:ascii="Times New Roman" w:hAnsi="Times New Roman" w:eastAsia="仿宋_GB2312" w:cs="Times New Roman"/>
          <w:bCs/>
          <w:sz w:val="32"/>
          <w:szCs w:val="32"/>
          <w:lang w:val="en-US" w:eastAsia="zh-CN"/>
        </w:rPr>
        <w:t>经济总收入达到750亿元，工业企业主营业务收入达到245亿元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w:t>
      </w:r>
      <w:r>
        <w:rPr>
          <w:rFonts w:hint="eastAsia" w:ascii="Times New Roman" w:hAnsi="Times New Roman" w:eastAsia="仿宋_GB2312" w:cs="Times New Roman"/>
          <w:bCs/>
          <w:sz w:val="32"/>
          <w:szCs w:val="32"/>
        </w:rPr>
        <w:t>全域</w:t>
      </w:r>
      <w:r>
        <w:rPr>
          <w:rFonts w:hint="eastAsia" w:ascii="Times New Roman" w:hAnsi="Times New Roman" w:eastAsia="仿宋_GB2312" w:cs="Times New Roman"/>
          <w:bCs/>
          <w:sz w:val="32"/>
          <w:szCs w:val="32"/>
          <w:lang w:val="en-US" w:eastAsia="zh-CN"/>
        </w:rPr>
        <w:t>经济总收入达到1000亿元，工业企业主营业务收入达到400亿元。</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——龙头企业</w:t>
      </w:r>
      <w:r>
        <w:rPr>
          <w:rFonts w:hint="eastAsia" w:ascii="Times New Roman" w:hAnsi="Times New Roman" w:eastAsia="仿宋_GB2312" w:cs="Times New Roman"/>
          <w:b/>
          <w:sz w:val="32"/>
          <w:szCs w:val="32"/>
          <w:lang w:val="en-US" w:eastAsia="zh-CN"/>
        </w:rPr>
        <w:t>再壮大</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Cs/>
          <w:sz w:val="32"/>
          <w:szCs w:val="32"/>
        </w:rPr>
        <w:t>引导企业和项目向浮梁产业园三龙片区</w:t>
      </w:r>
      <w:r>
        <w:rPr>
          <w:rFonts w:hint="eastAsia" w:ascii="Times New Roman" w:hAnsi="Times New Roman" w:eastAsia="仿宋_GB2312" w:cs="Times New Roman"/>
          <w:bCs/>
          <w:sz w:val="32"/>
          <w:szCs w:val="32"/>
          <w:lang w:val="en-US" w:eastAsia="zh-CN"/>
        </w:rPr>
        <w:t>和</w:t>
      </w:r>
      <w:r>
        <w:rPr>
          <w:rFonts w:hint="eastAsia" w:ascii="Times New Roman" w:hAnsi="Times New Roman" w:eastAsia="仿宋_GB2312" w:cs="Times New Roman"/>
          <w:bCs/>
          <w:sz w:val="32"/>
          <w:szCs w:val="32"/>
        </w:rPr>
        <w:t>湘湖片区、以晴5G</w:t>
      </w:r>
      <w:r>
        <w:rPr>
          <w:rFonts w:hint="eastAsia" w:ascii="Times New Roman" w:hAnsi="Times New Roman" w:eastAsia="仿宋_GB2312" w:cs="Times New Roman"/>
          <w:bCs/>
          <w:sz w:val="32"/>
          <w:szCs w:val="32"/>
          <w:lang w:val="en-US" w:eastAsia="zh-CN"/>
        </w:rPr>
        <w:t>产教融合基地</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寿安工业基地</w:t>
      </w:r>
      <w:r>
        <w:rPr>
          <w:rFonts w:hint="eastAsia" w:ascii="Times New Roman" w:hAnsi="Times New Roman" w:eastAsia="仿宋_GB2312" w:cs="Times New Roman"/>
          <w:bCs/>
          <w:sz w:val="32"/>
          <w:szCs w:val="32"/>
        </w:rPr>
        <w:t>集聚，加大龙头企业培育力度，</w:t>
      </w:r>
      <w:r>
        <w:rPr>
          <w:rFonts w:hint="eastAsia" w:ascii="Times New Roman" w:hAnsi="Times New Roman" w:eastAsia="仿宋_GB2312" w:cs="Times New Roman"/>
          <w:bCs/>
          <w:sz w:val="32"/>
          <w:szCs w:val="32"/>
          <w:lang w:val="en-US" w:eastAsia="zh-CN"/>
        </w:rPr>
        <w:t>到2025年</w:t>
      </w:r>
      <w:r>
        <w:rPr>
          <w:rFonts w:hint="eastAsia" w:ascii="Times New Roman" w:hAnsi="Times New Roman" w:eastAsia="仿宋_GB2312" w:cs="Times New Roman"/>
          <w:bCs/>
          <w:sz w:val="32"/>
          <w:szCs w:val="32"/>
        </w:rPr>
        <w:t>年销售收入超</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rPr>
        <w:t>0亿元企业1家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超</w:t>
      </w:r>
      <w:r>
        <w:rPr>
          <w:rFonts w:hint="eastAsia" w:ascii="Times New Roman" w:hAnsi="Times New Roman" w:eastAsia="仿宋_GB2312" w:cs="Times New Roman"/>
          <w:bCs/>
          <w:sz w:val="32"/>
          <w:szCs w:val="32"/>
          <w:lang w:val="en-US" w:eastAsia="zh-CN"/>
        </w:rPr>
        <w:t>10亿元企业2家，省级及以上农业龙头企业达到19家；到2030年，销售收入超50亿元企业1家、</w:t>
      </w:r>
      <w:r>
        <w:rPr>
          <w:rFonts w:hint="eastAsia" w:ascii="Times New Roman" w:hAnsi="Times New Roman" w:eastAsia="仿宋_GB2312" w:cs="Times New Roman"/>
          <w:bCs/>
          <w:sz w:val="32"/>
          <w:szCs w:val="32"/>
        </w:rPr>
        <w:t>20亿元企业</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rPr>
        <w:t>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10亿元5家，省级及以上农业龙头企业达到23家</w:t>
      </w:r>
      <w:r>
        <w:rPr>
          <w:rFonts w:hint="eastAsia" w:ascii="Times New Roman" w:hAnsi="Times New Roman" w:eastAsia="仿宋_GB2312" w:cs="Times New Roman"/>
          <w:bCs/>
          <w:sz w:val="32"/>
          <w:szCs w:val="32"/>
        </w:rPr>
        <w:t>。</w:t>
      </w:r>
    </w:p>
    <w:p>
      <w:pPr>
        <w:spacing w:line="560" w:lineRule="exact"/>
        <w:ind w:firstLine="643"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
          <w:sz w:val="32"/>
          <w:szCs w:val="32"/>
        </w:rPr>
        <w:t>——创新</w:t>
      </w:r>
      <w:r>
        <w:rPr>
          <w:rFonts w:hint="eastAsia" w:ascii="Times New Roman" w:hAnsi="Times New Roman" w:eastAsia="仿宋_GB2312" w:cs="Times New Roman"/>
          <w:b/>
          <w:sz w:val="32"/>
          <w:szCs w:val="32"/>
          <w:lang w:val="en-US" w:eastAsia="zh-CN"/>
        </w:rPr>
        <w:t>产业</w:t>
      </w:r>
      <w:r>
        <w:rPr>
          <w:rFonts w:hint="eastAsia" w:ascii="Times New Roman" w:hAnsi="Times New Roman" w:eastAsia="仿宋_GB2312" w:cs="Times New Roman"/>
          <w:b/>
          <w:sz w:val="32"/>
          <w:szCs w:val="32"/>
        </w:rPr>
        <w:t>促升级。</w:t>
      </w:r>
      <w:r>
        <w:rPr>
          <w:rFonts w:hint="eastAsia" w:ascii="Times New Roman" w:hAnsi="Times New Roman" w:eastAsia="仿宋_GB2312" w:cs="Times New Roman"/>
          <w:bCs/>
          <w:sz w:val="32"/>
          <w:szCs w:val="32"/>
        </w:rPr>
        <w:t>巩固提升现有创新平台和研发实力，到2025年，建成省级以上技术创新中心、工业设计中心10个，高新技术</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专精特新</w:t>
      </w:r>
      <w:r>
        <w:rPr>
          <w:rFonts w:hint="eastAsia" w:ascii="Times New Roman" w:hAnsi="Times New Roman" w:eastAsia="仿宋_GB2312" w:cs="Times New Roman"/>
          <w:bCs/>
          <w:sz w:val="32"/>
          <w:szCs w:val="32"/>
        </w:rPr>
        <w:t>企业</w:t>
      </w:r>
      <w:r>
        <w:rPr>
          <w:rFonts w:hint="eastAsia" w:ascii="Times New Roman" w:hAnsi="Times New Roman" w:eastAsia="仿宋_GB2312" w:cs="Times New Roman"/>
          <w:bCs/>
          <w:sz w:val="32"/>
          <w:szCs w:val="32"/>
          <w:lang w:val="en-US" w:eastAsia="zh-CN"/>
        </w:rPr>
        <w:t>达到2</w:t>
      </w:r>
      <w:r>
        <w:rPr>
          <w:rFonts w:hint="eastAsia" w:ascii="Times New Roman" w:hAnsi="Times New Roman" w:eastAsia="仿宋_GB2312" w:cs="Times New Roman"/>
          <w:bCs/>
          <w:sz w:val="32"/>
          <w:szCs w:val="32"/>
        </w:rPr>
        <w:t>0家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w:t>
      </w:r>
      <w:r>
        <w:rPr>
          <w:rFonts w:hint="eastAsia" w:ascii="Times New Roman" w:hAnsi="Times New Roman" w:eastAsia="仿宋_GB2312" w:cs="Times New Roman"/>
          <w:bCs/>
          <w:sz w:val="32"/>
          <w:szCs w:val="32"/>
        </w:rPr>
        <w:t>建成省级以上技术创新中心、工业设计中心1</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rPr>
        <w:t>个，</w:t>
      </w:r>
      <w:r>
        <w:rPr>
          <w:rFonts w:hint="eastAsia" w:ascii="Times New Roman" w:hAnsi="Times New Roman" w:eastAsia="仿宋_GB2312" w:cs="Times New Roman"/>
          <w:bCs/>
          <w:sz w:val="32"/>
          <w:szCs w:val="32"/>
          <w:lang w:val="en-US" w:eastAsia="zh-CN"/>
        </w:rPr>
        <w:t>新增</w:t>
      </w:r>
      <w:r>
        <w:rPr>
          <w:rFonts w:hint="eastAsia" w:ascii="Times New Roman" w:hAnsi="Times New Roman" w:eastAsia="仿宋_GB2312" w:cs="Times New Roman"/>
          <w:bCs/>
          <w:sz w:val="32"/>
          <w:szCs w:val="32"/>
        </w:rPr>
        <w:t>高新技术</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专精特新</w:t>
      </w:r>
      <w:r>
        <w:rPr>
          <w:rFonts w:hint="eastAsia" w:ascii="Times New Roman" w:hAnsi="Times New Roman" w:eastAsia="仿宋_GB2312" w:cs="Times New Roman"/>
          <w:bCs/>
          <w:sz w:val="32"/>
          <w:szCs w:val="32"/>
        </w:rPr>
        <w:t>企业</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0家。</w:t>
      </w:r>
    </w:p>
    <w:p>
      <w:pPr>
        <w:spacing w:line="560" w:lineRule="exact"/>
        <w:ind w:firstLine="643" w:firstLineChars="200"/>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——绿色发展谋双赢。</w:t>
      </w:r>
      <w:r>
        <w:rPr>
          <w:rFonts w:hint="eastAsia" w:ascii="Times New Roman" w:hAnsi="Times New Roman" w:eastAsia="仿宋_GB2312" w:cs="Times New Roman"/>
          <w:bCs/>
          <w:sz w:val="32"/>
          <w:szCs w:val="32"/>
        </w:rPr>
        <w:t>推进特色产业全链条绿色发展，资源、能源利用水平不断提高，实现经济发展与生态保护双赢。</w:t>
      </w:r>
      <w:r>
        <w:rPr>
          <w:rFonts w:hint="eastAsia" w:ascii="Times New Roman" w:hAnsi="Times New Roman" w:eastAsia="仿宋_GB2312" w:cs="Times New Roman"/>
          <w:bCs/>
          <w:sz w:val="32"/>
          <w:szCs w:val="32"/>
          <w:lang w:val="en-US" w:eastAsia="zh-CN"/>
        </w:rPr>
        <w:t>工业</w:t>
      </w:r>
      <w:r>
        <w:rPr>
          <w:rFonts w:hint="eastAsia" w:ascii="Times New Roman" w:hAnsi="Times New Roman" w:eastAsia="仿宋_GB2312" w:cs="Times New Roman"/>
          <w:bCs/>
          <w:sz w:val="32"/>
          <w:szCs w:val="32"/>
        </w:rPr>
        <w:t>能耗优于全国平均水平，力争创建2-3家国家级绿色工厂</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绿色车间</w:t>
      </w:r>
      <w:r>
        <w:rPr>
          <w:rFonts w:hint="eastAsia" w:ascii="Times New Roman" w:hAnsi="Times New Roman" w:eastAsia="仿宋_GB2312" w:cs="Times New Roman"/>
          <w:bCs/>
          <w:sz w:val="32"/>
          <w:szCs w:val="32"/>
        </w:rPr>
        <w:t>和绿色矿山。</w:t>
      </w:r>
    </w:p>
    <w:p>
      <w:pPr>
        <w:pStyle w:val="16"/>
        <w:widowControl/>
        <w:spacing w:beforeAutospacing="0" w:afterAutospacing="0"/>
        <w:jc w:val="center"/>
        <w:rPr>
          <w:rFonts w:ascii="仿宋_GB2312" w:hAnsi="微软雅黑" w:eastAsia="仿宋_GB2312" w:cs="微软雅黑"/>
          <w:sz w:val="28"/>
          <w:szCs w:val="28"/>
        </w:rPr>
      </w:pPr>
      <w:r>
        <w:rPr>
          <w:rFonts w:hint="eastAsia" w:ascii="仿宋_GB2312" w:hAnsi="宋体" w:eastAsia="仿宋_GB2312" w:cs="黑体"/>
          <w:color w:val="444444"/>
          <w:sz w:val="28"/>
          <w:szCs w:val="28"/>
          <w:shd w:val="clear" w:color="auto" w:fill="FFFFFF"/>
        </w:rPr>
        <w:t>表</w:t>
      </w:r>
      <w:r>
        <w:rPr>
          <w:rFonts w:hint="eastAsia" w:ascii="仿宋_GB2312" w:hAnsi="微软雅黑" w:eastAsia="仿宋_GB2312" w:cs="微软雅黑"/>
          <w:color w:val="444444"/>
          <w:sz w:val="28"/>
          <w:szCs w:val="28"/>
          <w:shd w:val="clear" w:color="auto" w:fill="FFFFFF"/>
        </w:rPr>
        <w:t>1：</w:t>
      </w:r>
      <w:r>
        <w:rPr>
          <w:rFonts w:hint="eastAsia" w:ascii="仿宋_GB2312" w:hAnsi="宋体" w:eastAsia="仿宋_GB2312" w:cs="黑体"/>
          <w:color w:val="444444"/>
          <w:sz w:val="28"/>
          <w:szCs w:val="28"/>
          <w:shd w:val="clear" w:color="auto" w:fill="FFFFFF"/>
        </w:rPr>
        <w:t>主要指标预测表</w:t>
      </w:r>
    </w:p>
    <w:tbl>
      <w:tblPr>
        <w:tblStyle w:val="17"/>
        <w:tblW w:w="909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50"/>
        <w:gridCol w:w="2566"/>
        <w:gridCol w:w="1188"/>
        <w:gridCol w:w="1129"/>
        <w:gridCol w:w="1129"/>
        <w:gridCol w:w="1018"/>
        <w:gridCol w:w="131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widowControl/>
              <w:jc w:val="left"/>
              <w:rPr>
                <w:rFonts w:ascii="仿宋_GB2312" w:hAnsi="仿宋_GB2312" w:eastAsia="仿宋_GB2312" w:cs="仿宋_GB2312"/>
                <w:sz w:val="24"/>
              </w:rPr>
            </w:pPr>
          </w:p>
        </w:tc>
        <w:tc>
          <w:tcPr>
            <w:tcW w:w="2566"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指标</w:t>
            </w:r>
          </w:p>
        </w:tc>
        <w:tc>
          <w:tcPr>
            <w:tcW w:w="1188"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单位</w:t>
            </w:r>
          </w:p>
        </w:tc>
        <w:tc>
          <w:tcPr>
            <w:tcW w:w="112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2022年</w:t>
            </w:r>
          </w:p>
          <w:p>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现状</w:t>
            </w:r>
          </w:p>
        </w:tc>
        <w:tc>
          <w:tcPr>
            <w:tcW w:w="112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2025年</w:t>
            </w:r>
          </w:p>
          <w:p>
            <w:pPr>
              <w:pStyle w:val="16"/>
              <w:widowControl/>
              <w:spacing w:beforeAutospacing="0" w:afterAutospacing="0" w:line="120" w:lineRule="auto"/>
              <w:jc w:val="center"/>
              <w:textAlignment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预测</w:t>
            </w:r>
          </w:p>
        </w:tc>
        <w:tc>
          <w:tcPr>
            <w:tcW w:w="1018"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line="120" w:lineRule="auto"/>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2030年</w:t>
            </w:r>
          </w:p>
          <w:p>
            <w:pPr>
              <w:pStyle w:val="16"/>
              <w:widowControl/>
              <w:spacing w:beforeAutospacing="0" w:afterAutospacing="0" w:line="120" w:lineRule="auto"/>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预测</w:t>
            </w:r>
          </w:p>
        </w:tc>
        <w:tc>
          <w:tcPr>
            <w:tcW w:w="1314"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年均增长</w:t>
            </w:r>
          </w:p>
          <w:p>
            <w:pPr>
              <w:pStyle w:val="16"/>
              <w:widowControl/>
              <w:spacing w:beforeAutospacing="0" w:afterAutospacing="0" w:line="120" w:lineRule="auto"/>
              <w:jc w:val="center"/>
              <w:textAlignment w:val="center"/>
              <w:rPr>
                <w:rFonts w:ascii="仿宋_GB2312" w:hAnsi="仿宋_GB2312" w:eastAsia="仿宋_GB2312" w:cs="仿宋_GB2312"/>
              </w:rPr>
            </w:pPr>
            <w:r>
              <w:rPr>
                <w:rFonts w:hint="eastAsia" w:ascii="仿宋_GB2312" w:hAnsi="仿宋_GB2312" w:eastAsia="仿宋_GB2312" w:cs="仿宋_GB2312"/>
              </w:rPr>
              <w:t>[累计增加]</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 w:hRule="atLeast"/>
          <w:jc w:val="center"/>
        </w:trPr>
        <w:tc>
          <w:tcPr>
            <w:tcW w:w="750" w:type="dxa"/>
            <w:vMerge w:val="restart"/>
            <w:tcBorders>
              <w:top w:val="nil"/>
              <w:left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结构优化</w:t>
            </w: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全域经济总收入</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623.1</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750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lang w:val="en-US" w:eastAsia="zh-CN"/>
              </w:rPr>
              <w:t>6</w:t>
            </w:r>
            <w:r>
              <w:rPr>
                <w:rFonts w:hint="eastAsia" w:ascii="仿宋_GB2312" w:hAnsi="仿宋_GB2312" w:eastAsia="仿宋_GB2312" w:cs="仿宋_GB2312"/>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6" w:hRule="atLeast"/>
          <w:jc w:val="center"/>
        </w:trPr>
        <w:tc>
          <w:tcPr>
            <w:tcW w:w="750" w:type="dxa"/>
            <w:vMerge w:val="continue"/>
            <w:tcBorders>
              <w:left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textAlignment w:val="center"/>
              <w:rPr>
                <w:rFonts w:ascii="仿宋_GB2312" w:hAnsi="仿宋_GB2312" w:eastAsia="仿宋_GB2312" w:cs="仿宋_GB2312"/>
              </w:rPr>
            </w:pPr>
            <w:r>
              <w:rPr>
                <w:rFonts w:hint="eastAsia" w:ascii="仿宋_GB2312" w:hAnsi="仿宋_GB2312" w:eastAsia="仿宋_GB2312" w:cs="仿宋_GB2312"/>
              </w:rPr>
              <w:t>工业企业主营业务收入</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p>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183.45</w:t>
            </w:r>
          </w:p>
          <w:p>
            <w:pPr>
              <w:pStyle w:val="16"/>
              <w:widowControl/>
              <w:spacing w:beforeAutospacing="0" w:afterAutospacing="0"/>
              <w:ind w:left="60"/>
              <w:jc w:val="center"/>
              <w:textAlignment w:val="center"/>
              <w:rPr>
                <w:rFonts w:ascii="仿宋_GB2312" w:hAnsi="仿宋_GB2312" w:eastAsia="仿宋_GB2312" w:cs="仿宋_GB2312"/>
              </w:rPr>
            </w:pP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eastAsia" w:ascii="仿宋_GB2312" w:hAnsi="仿宋_GB2312" w:eastAsia="仿宋_GB2312" w:cs="仿宋_GB2312"/>
                <w:lang w:eastAsia="zh-CN"/>
              </w:rPr>
            </w:pPr>
            <w:r>
              <w:rPr>
                <w:rFonts w:hint="eastAsia" w:ascii="仿宋_GB2312" w:hAnsi="仿宋_GB2312" w:eastAsia="仿宋_GB2312" w:cs="仿宋_GB2312"/>
              </w:rPr>
              <w:t>24</w:t>
            </w:r>
            <w:r>
              <w:rPr>
                <w:rFonts w:hint="eastAsia" w:ascii="仿宋_GB2312" w:hAnsi="仿宋_GB2312" w:eastAsia="仿宋_GB2312" w:cs="仿宋_GB2312"/>
                <w:lang w:val="en-US" w:eastAsia="zh-CN"/>
              </w:rPr>
              <w:t>5</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lang w:val="en-US" w:eastAsia="zh-CN"/>
              </w:rPr>
              <w:t>10</w:t>
            </w:r>
            <w:r>
              <w:rPr>
                <w:rFonts w:hint="eastAsia" w:ascii="仿宋_GB2312" w:hAnsi="仿宋_GB2312" w:eastAsia="仿宋_GB2312" w:cs="仿宋_GB2312"/>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8" w:hRule="atLeast"/>
          <w:jc w:val="center"/>
        </w:trPr>
        <w:tc>
          <w:tcPr>
            <w:tcW w:w="750" w:type="dxa"/>
            <w:vMerge w:val="continue"/>
            <w:tcBorders>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一般公共预算收入</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4.12</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5.5</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9</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9" w:hRule="atLeast"/>
          <w:jc w:val="center"/>
        </w:trPr>
        <w:tc>
          <w:tcPr>
            <w:tcW w:w="75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创新驱动</w:t>
            </w: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数字经济核心产业占经济总收入比重</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6.3</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eastAsia" w:ascii="仿宋_GB2312" w:hAnsi="仿宋_GB2312" w:eastAsia="仿宋_GB2312" w:cs="仿宋_GB2312"/>
                <w:lang w:eastAsia="zh-CN"/>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3.7</w:t>
            </w:r>
            <w:r>
              <w:rPr>
                <w:rFonts w:hint="eastAsia" w:ascii="仿宋_GB2312" w:hAnsi="仿宋_GB2312" w:eastAsia="仿宋_GB2312" w:cs="仿宋_GB2312"/>
              </w:rPr>
              <w:t>]</w:t>
            </w:r>
            <w:r>
              <w:rPr>
                <w:rFonts w:hint="eastAsia" w:ascii="仿宋_GB2312" w:hAnsi="仿宋_GB2312" w:eastAsia="仿宋_GB2312" w:cs="仿宋_GB2312"/>
                <w:lang w:val="en-US" w:eastAsia="zh-CN"/>
              </w:rPr>
              <w:t>[8.7]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全员劳动生产率</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万元/人</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7.24</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9.3</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12.5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省级以上技术创新中心（工业设计中心）</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个</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4</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[6][</w:t>
            </w:r>
            <w:r>
              <w:rPr>
                <w:rFonts w:hint="eastAsia" w:ascii="仿宋_GB2312" w:hAnsi="仿宋_GB2312" w:eastAsia="仿宋_GB2312" w:cs="仿宋_GB2312"/>
                <w:lang w:val="en-US" w:eastAsia="zh-CN"/>
              </w:rPr>
              <w:t>11</w:t>
            </w:r>
            <w:r>
              <w:rPr>
                <w:rFonts w:hint="eastAsia" w:ascii="仿宋_GB2312" w:hAnsi="仿宋_GB2312" w:eastAsia="仿宋_GB2312" w:cs="仿宋_GB2312"/>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农业增效</w:t>
            </w: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农村居民可支配收入</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34568</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42500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55500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“三品一标”认证品种个数</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个</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60</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70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r>
              <w:rPr>
                <w:rFonts w:hint="eastAsia" w:ascii="仿宋_GB2312" w:hAnsi="仿宋_GB2312" w:eastAsia="仿宋_GB2312" w:cs="仿宋_GB2312"/>
                <w:lang w:val="en-US" w:eastAsia="zh-CN"/>
              </w:rPr>
              <w:t>2</w:t>
            </w:r>
            <w:r>
              <w:rPr>
                <w:rFonts w:hint="eastAsia" w:ascii="仿宋_GB2312" w:hAnsi="仿宋_GB2312" w:eastAsia="仿宋_GB2312" w:cs="仿宋_GB231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省级以上农业龙头企业</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家</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17</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19</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23</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6</w:t>
            </w:r>
            <w:r>
              <w:rPr>
                <w:rFonts w:hint="eastAsia" w:ascii="仿宋_GB2312" w:hAnsi="仿宋_GB2312" w:eastAsia="仿宋_GB2312" w:cs="仿宋_GB2312"/>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lang w:val="en-US" w:eastAsia="zh-CN"/>
              </w:rPr>
              <w:t>工业</w:t>
            </w:r>
            <w:r>
              <w:rPr>
                <w:rFonts w:hint="eastAsia" w:ascii="仿宋_GB2312" w:hAnsi="仿宋_GB2312" w:eastAsia="仿宋_GB2312" w:cs="仿宋_GB2312"/>
              </w:rPr>
              <w:t>升级</w:t>
            </w: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规上企业数</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家</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58</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78</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108</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[20][</w:t>
            </w:r>
            <w:r>
              <w:rPr>
                <w:rFonts w:hint="eastAsia" w:ascii="仿宋_GB2312" w:hAnsi="仿宋_GB2312" w:eastAsia="仿宋_GB2312" w:cs="仿宋_GB2312"/>
                <w:lang w:val="en-US" w:eastAsia="zh-CN"/>
              </w:rPr>
              <w:t>3</w:t>
            </w:r>
            <w:r>
              <w:rPr>
                <w:rFonts w:hint="eastAsia" w:ascii="仿宋_GB2312" w:hAnsi="仿宋_GB2312" w:eastAsia="仿宋_GB2312" w:cs="仿宋_GB231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高新技术企业、专精特新企业</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家</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lang w:val="en-US" w:eastAsia="zh-CN"/>
              </w:rPr>
              <w:t>2</w:t>
            </w:r>
            <w:r>
              <w:rPr>
                <w:rFonts w:hint="eastAsia" w:ascii="仿宋_GB2312" w:hAnsi="仿宋_GB2312" w:eastAsia="仿宋_GB2312" w:cs="仿宋_GB2312"/>
              </w:rPr>
              <w:t>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[10][</w:t>
            </w:r>
            <w:r>
              <w:rPr>
                <w:rFonts w:hint="eastAsia" w:ascii="仿宋_GB2312" w:hAnsi="仿宋_GB2312" w:eastAsia="仿宋_GB2312" w:cs="仿宋_GB2312"/>
                <w:lang w:val="en-US" w:eastAsia="zh-CN"/>
              </w:rPr>
              <w:t>2</w:t>
            </w:r>
            <w:r>
              <w:rPr>
                <w:rFonts w:hint="eastAsia" w:ascii="仿宋_GB2312" w:hAnsi="仿宋_GB2312" w:eastAsia="仿宋_GB2312" w:cs="仿宋_GB231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规上工业用地亩均税收</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万元/亩</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13.7</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15.7</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17.5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lang w:val="en-US" w:eastAsia="zh-CN"/>
              </w:rPr>
              <w:t>4</w:t>
            </w:r>
            <w:r>
              <w:rPr>
                <w:rFonts w:hint="eastAsia" w:ascii="仿宋_GB2312" w:hAnsi="仿宋_GB2312" w:eastAsia="仿宋_GB2312" w:cs="仿宋_GB2312"/>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3" w:hRule="atLeast"/>
          <w:jc w:val="center"/>
        </w:trPr>
        <w:tc>
          <w:tcPr>
            <w:tcW w:w="750"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服务业</w:t>
            </w:r>
          </w:p>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提质</w:t>
            </w:r>
          </w:p>
        </w:tc>
        <w:tc>
          <w:tcPr>
            <w:tcW w:w="2566" w:type="dxa"/>
            <w:tcBorders>
              <w:top w:val="nil"/>
              <w:left w:val="nil"/>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旅游综合收入</w:t>
            </w:r>
          </w:p>
        </w:tc>
        <w:tc>
          <w:tcPr>
            <w:tcW w:w="1188" w:type="dxa"/>
            <w:tcBorders>
              <w:top w:val="nil"/>
              <w:left w:val="nil"/>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83</w:t>
            </w:r>
          </w:p>
        </w:tc>
        <w:tc>
          <w:tcPr>
            <w:tcW w:w="1129" w:type="dxa"/>
            <w:tcBorders>
              <w:top w:val="nil"/>
              <w:left w:val="nil"/>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110</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180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0</w:t>
            </w:r>
            <w:r>
              <w:rPr>
                <w:rFonts w:hint="eastAsia" w:ascii="仿宋_GB2312" w:hAnsi="仿宋_GB2312" w:eastAsia="仿宋_GB2312" w:cs="仿宋_GB2312"/>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社会消费品零售总额</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23</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28</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40</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7.5%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5" w:hRule="atLeast"/>
          <w:jc w:val="center"/>
        </w:trPr>
        <w:tc>
          <w:tcPr>
            <w:tcW w:w="750" w:type="dxa"/>
            <w:vMerge w:val="continue"/>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pPr>
              <w:rPr>
                <w:rFonts w:ascii="仿宋_GB2312" w:hAnsi="仿宋_GB2312" w:eastAsia="仿宋_GB2312" w:cs="仿宋_GB2312"/>
                <w:sz w:val="24"/>
              </w:rPr>
            </w:pPr>
          </w:p>
        </w:tc>
        <w:tc>
          <w:tcPr>
            <w:tcW w:w="256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textAlignment w:val="center"/>
              <w:rPr>
                <w:rFonts w:ascii="仿宋_GB2312" w:hAnsi="仿宋_GB2312" w:eastAsia="仿宋_GB2312" w:cs="仿宋_GB2312"/>
              </w:rPr>
            </w:pPr>
            <w:r>
              <w:rPr>
                <w:rFonts w:hint="eastAsia" w:ascii="仿宋_GB2312" w:hAnsi="仿宋_GB2312" w:eastAsia="仿宋_GB2312" w:cs="仿宋_GB2312"/>
              </w:rPr>
              <w:t>网络零售额</w:t>
            </w:r>
          </w:p>
        </w:tc>
        <w:tc>
          <w:tcPr>
            <w:tcW w:w="118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亿元</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18</w:t>
            </w:r>
          </w:p>
        </w:tc>
        <w:tc>
          <w:tcPr>
            <w:tcW w:w="112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23</w:t>
            </w:r>
          </w:p>
        </w:tc>
        <w:tc>
          <w:tcPr>
            <w:tcW w:w="1018"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35</w:t>
            </w:r>
          </w:p>
        </w:tc>
        <w:tc>
          <w:tcPr>
            <w:tcW w:w="1314"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pPr>
              <w:pStyle w:val="16"/>
              <w:widowControl/>
              <w:spacing w:beforeAutospacing="0" w:afterAutospacing="0"/>
              <w:ind w:left="60"/>
              <w:jc w:val="center"/>
              <w:textAlignment w:val="center"/>
              <w:rPr>
                <w:rFonts w:ascii="仿宋_GB2312" w:hAnsi="仿宋_GB2312" w:eastAsia="仿宋_GB2312" w:cs="仿宋_GB2312"/>
              </w:rPr>
            </w:pPr>
            <w:r>
              <w:rPr>
                <w:rFonts w:hint="eastAsia" w:ascii="仿宋_GB2312" w:hAnsi="仿宋_GB2312" w:eastAsia="仿宋_GB2312" w:cs="仿宋_GB2312"/>
              </w:rPr>
              <w:t>8.5%</w:t>
            </w:r>
          </w:p>
        </w:tc>
      </w:tr>
    </w:tbl>
    <w:p>
      <w:pPr>
        <w:pStyle w:val="5"/>
        <w:jc w:val="both"/>
        <w:rPr>
          <w:rFonts w:hint="default" w:eastAsia="黑体" w:asciiTheme="minorHAnsi" w:hAnsiTheme="minorHAnsi"/>
          <w:kern w:val="44"/>
          <w:sz w:val="44"/>
          <w:szCs w:val="44"/>
          <w:lang w:val="en-US" w:eastAsia="zh-CN"/>
        </w:rPr>
      </w:pPr>
      <w:r>
        <w:rPr>
          <w:rFonts w:hint="eastAsia" w:ascii="仿宋_GB2312" w:hAnsi="宋体" w:eastAsia="仿宋_GB2312" w:cs="黑体"/>
          <w:color w:val="444444"/>
          <w:kern w:val="0"/>
          <w:sz w:val="28"/>
          <w:szCs w:val="28"/>
          <w:shd w:val="clear" w:color="auto" w:fill="FFFFFF"/>
          <w:lang w:val="en-US" w:eastAsia="zh-CN" w:bidi="ar-SA"/>
        </w:rPr>
        <w:t>备注：表中增速略高于县“十四五”规划水平</w:t>
      </w: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34" w:name="_Toc12397"/>
      <w:r>
        <w:rPr>
          <w:rFonts w:hint="eastAsia" w:ascii="Times New Roman" w:hAnsi="Times New Roman" w:eastAsia="黑体" w:cs="Times New Roman"/>
          <w:sz w:val="36"/>
          <w:szCs w:val="36"/>
        </w:rPr>
        <w:t>第三章  发展领域与重点</w:t>
      </w:r>
      <w:bookmarkEnd w:id="34"/>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5" w:name="_Toc20707"/>
      <w:r>
        <w:rPr>
          <w:rFonts w:hint="eastAsia" w:ascii="Times New Roman" w:hAnsi="Times New Roman" w:eastAsia="黑体" w:cs="Times New Roman"/>
          <w:sz w:val="32"/>
          <w:szCs w:val="32"/>
        </w:rPr>
        <w:t>第一节  数字经济</w:t>
      </w:r>
      <w:bookmarkEnd w:id="35"/>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产业数字化、数字产业化、数字化治理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为主线，推进</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数字+制造业</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数字+农业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数字+服务业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深度融合，基本建成以先进陶瓷、通讯电子为基础，转型促进为导向，智慧应用为重点，研学产创为驱动，信息安全为保障的数字经济体系，</w:t>
      </w:r>
      <w:r>
        <w:rPr>
          <w:rFonts w:hint="eastAsia" w:ascii="Times New Roman" w:hAnsi="Times New Roman" w:eastAsia="仿宋_GB2312" w:cs="Times New Roman"/>
          <w:bCs/>
          <w:sz w:val="32"/>
          <w:szCs w:val="32"/>
        </w:rPr>
        <w:t>数字产业化取得突破性进展，产业数字化水平显著提升，社会治理数字化水平明显提高，</w:t>
      </w:r>
      <w:r>
        <w:rPr>
          <w:rFonts w:ascii="Times New Roman" w:hAnsi="Times New Roman" w:eastAsia="仿宋_GB2312" w:cs="Times New Roman"/>
          <w:bCs/>
          <w:sz w:val="32"/>
          <w:szCs w:val="32"/>
        </w:rPr>
        <w:t>努力成为全国数字化先进陶瓷产业引领区、全省百亿电子信息产业集聚区、全省场景创新应用示范区、全省数字文旅融合发展先导区、全省数字营商环境示范区</w:t>
      </w:r>
      <w:r>
        <w:rPr>
          <w:rFonts w:hint="eastAsia" w:ascii="Times New Roman" w:hAnsi="Times New Roman" w:eastAsia="仿宋_GB2312" w:cs="Times New Roman"/>
          <w:bCs/>
          <w:sz w:val="32"/>
          <w:szCs w:val="32"/>
        </w:rPr>
        <w:t>。力争到2025年，数字经济</w:t>
      </w:r>
      <w:r>
        <w:rPr>
          <w:rFonts w:hint="eastAsia" w:ascii="Times New Roman" w:hAnsi="Times New Roman" w:eastAsia="仿宋_GB2312" w:cs="Times New Roman"/>
          <w:bCs/>
          <w:sz w:val="32"/>
          <w:szCs w:val="32"/>
          <w:lang w:val="en-US" w:eastAsia="zh-CN"/>
        </w:rPr>
        <w:t>核心产业占经济总收入比重达到10%；到2030年，</w:t>
      </w:r>
      <w:r>
        <w:rPr>
          <w:rFonts w:hint="eastAsia" w:ascii="Times New Roman" w:hAnsi="Times New Roman" w:eastAsia="仿宋_GB2312" w:cs="Times New Roman"/>
          <w:bCs/>
          <w:sz w:val="32"/>
          <w:szCs w:val="32"/>
        </w:rPr>
        <w:t>数字经济</w:t>
      </w:r>
      <w:r>
        <w:rPr>
          <w:rFonts w:hint="eastAsia" w:ascii="Times New Roman" w:hAnsi="Times New Roman" w:eastAsia="仿宋_GB2312" w:cs="Times New Roman"/>
          <w:bCs/>
          <w:sz w:val="32"/>
          <w:szCs w:val="32"/>
          <w:lang w:val="en-US" w:eastAsia="zh-CN"/>
        </w:rPr>
        <w:t>核心产业占经济总收入比重达到15%</w:t>
      </w:r>
      <w:r>
        <w:rPr>
          <w:rFonts w:hint="eastAsia" w:ascii="Times New Roman" w:hAnsi="Times New Roman" w:eastAsia="仿宋_GB2312" w:cs="Times New Roman"/>
          <w:bCs/>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jc w:val="center"/>
              <w:rPr>
                <w:rFonts w:ascii="仿宋_GB2312" w:eastAsia="仿宋_GB2312" w:cs="仿宋_GB2312" w:hAnsiTheme="minorHAnsi"/>
                <w:color w:val="000000"/>
                <w:sz w:val="28"/>
                <w:szCs w:val="28"/>
              </w:rPr>
            </w:pPr>
            <w:r>
              <w:rPr>
                <w:rFonts w:hint="eastAsia" w:ascii="仿宋_GB2312" w:eastAsia="仿宋_GB2312" w:cs="仿宋_GB2312" w:hAnsiTheme="minorHAnsi"/>
                <w:b/>
                <w:bCs/>
                <w:color w:val="000000"/>
                <w:sz w:val="28"/>
                <w:szCs w:val="28"/>
              </w:rPr>
              <w:t>专栏1：数字经济发展指引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adjustRightInd w:val="0"/>
              <w:snapToGrid w:val="0"/>
              <w:ind w:firstLine="482" w:firstLineChars="200"/>
              <w:rPr>
                <w:rFonts w:ascii="仿宋_GB2312" w:hAnsi="Tahoma" w:eastAsia="仿宋_GB2312" w:cs="仿宋_GB2312"/>
                <w:kern w:val="0"/>
                <w:sz w:val="24"/>
              </w:rPr>
            </w:pPr>
            <w:r>
              <w:rPr>
                <w:rFonts w:hint="eastAsia" w:ascii="仿宋_GB2312" w:hAnsi="Tahoma" w:eastAsia="仿宋_GB2312" w:cs="仿宋_GB2312"/>
                <w:b/>
                <w:bCs/>
                <w:kern w:val="0"/>
                <w:sz w:val="24"/>
              </w:rPr>
              <w:t>1.数字经济核心产业。</w:t>
            </w:r>
            <w:r>
              <w:rPr>
                <w:rFonts w:ascii="仿宋_GB2312" w:hAnsi="Tahoma" w:eastAsia="仿宋_GB2312" w:cs="仿宋_GB2312"/>
                <w:kern w:val="0"/>
                <w:sz w:val="24"/>
              </w:rPr>
              <w:t>推动数字经济核心产业发展，加快推动数字经济新兴产业发展，将数字经济作为招商引资的重点方向之一，</w:t>
            </w:r>
            <w:r>
              <w:rPr>
                <w:rFonts w:hint="eastAsia" w:ascii="仿宋_GB2312" w:hAnsi="Tahoma" w:eastAsia="仿宋_GB2312" w:cs="仿宋_GB2312"/>
                <w:kern w:val="0"/>
                <w:sz w:val="24"/>
              </w:rPr>
              <w:t>大力</w:t>
            </w:r>
            <w:r>
              <w:rPr>
                <w:rFonts w:ascii="仿宋_GB2312" w:hAnsi="Tahoma" w:eastAsia="仿宋_GB2312" w:cs="仿宋_GB2312"/>
                <w:kern w:val="0"/>
                <w:sz w:val="24"/>
              </w:rPr>
              <w:t>发展电子信</w:t>
            </w:r>
            <w:r>
              <w:rPr>
                <w:rFonts w:hint="eastAsia" w:ascii="仿宋_GB2312" w:hAnsi="Tahoma" w:eastAsia="仿宋_GB2312" w:cs="仿宋_GB2312"/>
                <w:kern w:val="0"/>
                <w:sz w:val="24"/>
              </w:rPr>
              <w:t>息产业，积极培育</w:t>
            </w:r>
            <w:r>
              <w:rPr>
                <w:rFonts w:ascii="仿宋_GB2312" w:hAnsi="Tahoma" w:eastAsia="仿宋_GB2312" w:cs="仿宋_GB2312"/>
                <w:kern w:val="0"/>
                <w:sz w:val="24"/>
              </w:rPr>
              <w:t>软件及信息服务、大数据、物联网、人工智能等新产业、新业态，塑造数字经济发展新优势。</w:t>
            </w:r>
          </w:p>
          <w:p>
            <w:pPr>
              <w:widowControl/>
              <w:adjustRightInd w:val="0"/>
              <w:snapToGrid w:val="0"/>
              <w:ind w:firstLine="482" w:firstLineChars="200"/>
              <w:rPr>
                <w:rFonts w:ascii="仿宋_GB2312" w:hAnsi="Tahoma" w:eastAsia="仿宋_GB2312" w:cs="仿宋_GB2312"/>
                <w:kern w:val="0"/>
                <w:sz w:val="24"/>
              </w:rPr>
            </w:pPr>
            <w:r>
              <w:rPr>
                <w:rFonts w:hint="eastAsia" w:ascii="仿宋_GB2312" w:hAnsi="Tahoma" w:eastAsia="仿宋_GB2312" w:cs="仿宋_GB2312"/>
                <w:b/>
                <w:bCs/>
                <w:kern w:val="0"/>
                <w:sz w:val="24"/>
              </w:rPr>
              <w:t>2.产业数字化。</w:t>
            </w:r>
            <w:r>
              <w:rPr>
                <w:rFonts w:hint="eastAsia" w:eastAsia="仿宋_GB2312" w:cs="仿宋_GB2312"/>
                <w:color w:val="000000"/>
                <w:sz w:val="24"/>
              </w:rPr>
              <w:t>创新融合发展新模式，深耕制造业数字化转型，推进互联网、大数据、人工智能等信息技术在制造领域的全面渗透和深入应用，提升智能制造支撑能力，探索个性化定制和服务型制造发展路径。</w:t>
            </w:r>
            <w:r>
              <w:rPr>
                <w:rFonts w:hint="eastAsia" w:ascii="仿宋_GB2312" w:hAnsi="Tahoma" w:eastAsia="仿宋_GB2312" w:cs="仿宋_GB2312"/>
                <w:kern w:val="0"/>
                <w:sz w:val="24"/>
              </w:rPr>
              <w:t>抓住</w:t>
            </w:r>
            <w:r>
              <w:rPr>
                <w:rFonts w:ascii="仿宋_GB2312" w:hAnsi="Tahoma" w:eastAsia="仿宋_GB2312" w:cs="仿宋_GB2312"/>
                <w:kern w:val="0"/>
                <w:sz w:val="24"/>
              </w:rPr>
              <w:t>浮梁县</w:t>
            </w:r>
            <w:r>
              <w:rPr>
                <w:rFonts w:hint="eastAsia" w:ascii="仿宋_GB2312" w:hAnsi="Tahoma" w:eastAsia="仿宋_GB2312" w:cs="仿宋_GB2312"/>
                <w:kern w:val="0"/>
                <w:sz w:val="24"/>
              </w:rPr>
              <w:t>成为</w:t>
            </w:r>
            <w:r>
              <w:rPr>
                <w:rFonts w:ascii="仿宋_GB2312" w:hAnsi="Tahoma" w:eastAsia="仿宋_GB2312" w:cs="仿宋_GB2312"/>
                <w:kern w:val="0"/>
                <w:sz w:val="24"/>
              </w:rPr>
              <w:t>第八批国家电子商务进农村综合示范县</w:t>
            </w:r>
            <w:r>
              <w:rPr>
                <w:rFonts w:hint="eastAsia" w:ascii="仿宋_GB2312" w:hAnsi="Tahoma" w:eastAsia="仿宋_GB2312" w:cs="仿宋_GB2312"/>
                <w:kern w:val="0"/>
                <w:sz w:val="24"/>
              </w:rPr>
              <w:t>契机，</w:t>
            </w:r>
            <w:r>
              <w:rPr>
                <w:rFonts w:ascii="仿宋_GB2312" w:hAnsi="Tahoma" w:eastAsia="仿宋_GB2312" w:cs="仿宋_GB2312"/>
                <w:kern w:val="0"/>
                <w:sz w:val="24"/>
              </w:rPr>
              <w:t>以新一代信息技术为引领，加快农业数字化转型，促进乡村振兴，推动智慧农业试点示范，开展农产品精准追溯，构建农业电商服务平台。</w:t>
            </w:r>
            <w:r>
              <w:rPr>
                <w:rFonts w:hint="eastAsia" w:ascii="仿宋_GB2312" w:hAnsi="Tahoma" w:eastAsia="仿宋_GB2312" w:cs="仿宋_GB2312"/>
                <w:kern w:val="0"/>
                <w:sz w:val="24"/>
              </w:rPr>
              <w:t>高标准实施一批重大项目，优化文创产业布局，加快</w:t>
            </w:r>
            <w:r>
              <w:rPr>
                <w:rFonts w:ascii="仿宋_GB2312" w:hAnsi="Tahoma" w:eastAsia="仿宋_GB2312" w:cs="仿宋_GB2312"/>
                <w:kern w:val="0"/>
                <w:sz w:val="24"/>
              </w:rPr>
              <w:t>推进智慧景区建设</w:t>
            </w:r>
            <w:r>
              <w:rPr>
                <w:rFonts w:hint="eastAsia" w:ascii="仿宋_GB2312" w:hAnsi="Tahoma" w:eastAsia="仿宋_GB2312" w:cs="仿宋_GB2312"/>
                <w:kern w:val="0"/>
                <w:sz w:val="24"/>
              </w:rPr>
              <w:t>，</w:t>
            </w:r>
            <w:r>
              <w:rPr>
                <w:rFonts w:ascii="仿宋_GB2312" w:hAnsi="Tahoma" w:eastAsia="仿宋_GB2312" w:cs="仿宋_GB2312"/>
                <w:kern w:val="0"/>
                <w:sz w:val="24"/>
              </w:rPr>
              <w:t>搭建文旅智慧服务平台</w:t>
            </w:r>
            <w:r>
              <w:rPr>
                <w:rFonts w:hint="eastAsia" w:ascii="仿宋_GB2312" w:hAnsi="Tahoma" w:eastAsia="仿宋_GB2312" w:cs="仿宋_GB2312"/>
                <w:kern w:val="0"/>
                <w:sz w:val="24"/>
              </w:rPr>
              <w:t>，</w:t>
            </w:r>
            <w:r>
              <w:rPr>
                <w:rFonts w:ascii="仿宋_GB2312" w:hAnsi="Tahoma" w:eastAsia="仿宋_GB2312" w:cs="仿宋_GB2312"/>
                <w:kern w:val="0"/>
                <w:sz w:val="24"/>
              </w:rPr>
              <w:t>提升数字文旅监管能力</w:t>
            </w:r>
            <w:r>
              <w:rPr>
                <w:rFonts w:hint="eastAsia" w:ascii="仿宋_GB2312" w:hAnsi="Tahoma" w:eastAsia="仿宋_GB2312" w:cs="仿宋_GB2312"/>
                <w:kern w:val="0"/>
                <w:sz w:val="24"/>
              </w:rPr>
              <w:t>，</w:t>
            </w:r>
            <w:r>
              <w:rPr>
                <w:rFonts w:ascii="仿宋_GB2312" w:hAnsi="Tahoma" w:eastAsia="仿宋_GB2312" w:cs="仿宋_GB2312"/>
                <w:kern w:val="0"/>
                <w:sz w:val="24"/>
              </w:rPr>
              <w:t>加大线上营销宣传力度</w:t>
            </w:r>
            <w:r>
              <w:rPr>
                <w:rFonts w:hint="eastAsia" w:ascii="仿宋_GB2312" w:hAnsi="Tahoma" w:eastAsia="仿宋_GB2312" w:cs="仿宋_GB2312"/>
                <w:kern w:val="0"/>
                <w:sz w:val="24"/>
              </w:rPr>
              <w:t>，</w:t>
            </w:r>
            <w:r>
              <w:rPr>
                <w:rFonts w:ascii="仿宋_GB2312" w:hAnsi="Tahoma" w:eastAsia="仿宋_GB2312" w:cs="仿宋_GB2312"/>
                <w:kern w:val="0"/>
                <w:sz w:val="24"/>
              </w:rPr>
              <w:t>拓宽数字文娱产业内涵</w:t>
            </w:r>
            <w:r>
              <w:rPr>
                <w:rFonts w:hint="eastAsia" w:ascii="仿宋_GB2312" w:hAnsi="Tahoma" w:eastAsia="仿宋_GB2312" w:cs="仿宋_GB2312"/>
                <w:kern w:val="0"/>
                <w:sz w:val="24"/>
              </w:rPr>
              <w:t>，唱响浮梁“</w:t>
            </w:r>
            <w:r>
              <w:rPr>
                <w:rFonts w:ascii="仿宋_GB2312" w:hAnsi="Tahoma" w:eastAsia="仿宋_GB2312" w:cs="仿宋_GB2312"/>
                <w:kern w:val="0"/>
                <w:sz w:val="24"/>
              </w:rPr>
              <w:t>智慧</w:t>
            </w:r>
            <w:r>
              <w:rPr>
                <w:rFonts w:hint="eastAsia" w:ascii="仿宋_GB2312" w:hAnsi="Tahoma" w:eastAsia="仿宋_GB2312" w:cs="仿宋_GB2312"/>
                <w:kern w:val="0"/>
                <w:sz w:val="24"/>
              </w:rPr>
              <w:t>茶瓷旅</w:t>
            </w:r>
            <w:r>
              <w:rPr>
                <w:rFonts w:ascii="仿宋_GB2312" w:hAnsi="Tahoma" w:eastAsia="仿宋_GB2312" w:cs="仿宋_GB2312"/>
                <w:kern w:val="0"/>
                <w:sz w:val="24"/>
              </w:rPr>
              <w:t>品牌</w:t>
            </w:r>
            <w:r>
              <w:rPr>
                <w:rFonts w:hint="eastAsia" w:ascii="仿宋_GB2312" w:hAnsi="Tahoma" w:eastAsia="仿宋_GB2312" w:cs="仿宋_GB2312"/>
                <w:kern w:val="0"/>
                <w:sz w:val="24"/>
              </w:rPr>
              <w:t>”。</w:t>
            </w:r>
            <w:r>
              <w:rPr>
                <w:rFonts w:ascii="仿宋_GB2312" w:hAnsi="Tahoma" w:eastAsia="仿宋_GB2312" w:cs="仿宋_GB2312"/>
                <w:kern w:val="0"/>
                <w:sz w:val="24"/>
              </w:rPr>
              <w:t>深化信息技术在服务业领域的数字化渗透，加速服务业企业数字化转型，创新服务内容和模式，激发服务业新活力，拓展数字经济新空间。</w:t>
            </w:r>
          </w:p>
          <w:p>
            <w:pPr>
              <w:pStyle w:val="5"/>
              <w:ind w:firstLine="480" w:firstLineChars="200"/>
              <w:rPr>
                <w:rFonts w:eastAsia="仿宋_GB2312" w:cs="仿宋_GB2312" w:asciiTheme="minorHAnsi" w:hAnsiTheme="minorHAnsi"/>
                <w:color w:val="000000"/>
                <w:sz w:val="32"/>
                <w:szCs w:val="32"/>
              </w:rPr>
            </w:pPr>
            <w:r>
              <w:rPr>
                <w:rFonts w:hint="eastAsia" w:ascii="仿宋_GB2312" w:hAnsi="Tahoma" w:eastAsia="仿宋_GB2312" w:cs="仿宋_GB2312"/>
                <w:kern w:val="0"/>
              </w:rPr>
              <w:t>3.</w:t>
            </w:r>
            <w:r>
              <w:rPr>
                <w:rFonts w:hint="eastAsia" w:ascii="仿宋_GB2312" w:hAnsi="Tahoma" w:eastAsia="仿宋_GB2312" w:cs="仿宋_GB2312"/>
                <w:b/>
                <w:bCs/>
                <w:kern w:val="0"/>
              </w:rPr>
              <w:t>智慧城市建设。</w:t>
            </w:r>
            <w:r>
              <w:rPr>
                <w:rFonts w:ascii="仿宋_GB2312" w:hAnsi="Tahoma" w:eastAsia="仿宋_GB2312" w:cs="仿宋_GB2312"/>
                <w:kern w:val="0"/>
              </w:rPr>
              <w:t>立足</w:t>
            </w:r>
            <w:r>
              <w:rPr>
                <w:rFonts w:hint="eastAsia" w:ascii="仿宋_GB2312" w:hAnsi="Tahoma" w:eastAsia="仿宋_GB2312" w:cs="仿宋_GB2312"/>
                <w:kern w:val="0"/>
              </w:rPr>
              <w:t>先行区</w:t>
            </w:r>
            <w:r>
              <w:rPr>
                <w:rFonts w:ascii="仿宋_GB2312" w:hAnsi="Tahoma" w:eastAsia="仿宋_GB2312" w:cs="仿宋_GB2312"/>
                <w:kern w:val="0"/>
              </w:rPr>
              <w:t>经济社会发展需要，加快推进政府治理体系和治理能力现代化，</w:t>
            </w:r>
            <w:r>
              <w:rPr>
                <w:rFonts w:hint="eastAsia" w:ascii="仿宋_GB2312" w:hAnsi="Tahoma" w:eastAsia="仿宋_GB2312" w:cs="仿宋_GB2312"/>
                <w:kern w:val="0"/>
              </w:rPr>
              <w:t>推</w:t>
            </w:r>
            <w:r>
              <w:rPr>
                <w:rFonts w:ascii="仿宋_GB2312" w:hAnsi="Tahoma" w:eastAsia="仿宋_GB2312" w:cs="仿宋_GB2312"/>
                <w:kern w:val="0"/>
              </w:rPr>
              <w:t>进信息资源整合和深度开发，全面提升治理数字化水平，构建包容审慎的数字治理体系，以数字经济赋能高效政务服务，实现数字善政、兴业、惠民。</w:t>
            </w:r>
          </w:p>
        </w:tc>
      </w:tr>
    </w:tbl>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6" w:name="_Toc29052"/>
      <w:r>
        <w:rPr>
          <w:rFonts w:hint="eastAsia" w:ascii="Times New Roman" w:hAnsi="Times New Roman" w:eastAsia="黑体" w:cs="Times New Roman"/>
          <w:sz w:val="32"/>
          <w:szCs w:val="32"/>
        </w:rPr>
        <w:t>第二节  工业</w:t>
      </w:r>
      <w:bookmarkEnd w:id="36"/>
    </w:p>
    <w:p>
      <w:pPr>
        <w:keepNext w:val="0"/>
        <w:keepLines w:val="0"/>
        <w:pageBreakBefore w:val="0"/>
        <w:widowControl w:val="0"/>
        <w:tabs>
          <w:tab w:val="left" w:pos="2268"/>
        </w:tabs>
        <w:kinsoku/>
        <w:wordWrap/>
        <w:overflowPunct/>
        <w:topLinePunct w:val="0"/>
        <w:autoSpaceDE/>
        <w:autoSpaceDN/>
        <w:bidi w:val="0"/>
        <w:adjustRightInd w:val="0"/>
        <w:snapToGrid w:val="0"/>
        <w:spacing w:before="313" w:beforeLines="100" w:line="360" w:lineRule="auto"/>
        <w:jc w:val="left"/>
        <w:textAlignment w:val="auto"/>
        <w:outlineLvl w:val="1"/>
        <w:rPr>
          <w:rFonts w:hint="default" w:ascii="仿宋" w:hAnsi="仿宋" w:eastAsia="仿宋" w:cs="仿宋"/>
          <w:sz w:val="28"/>
          <w:szCs w:val="28"/>
          <w:lang w:val="en-US" w:eastAsia="zh-CN"/>
        </w:rPr>
      </w:pPr>
      <w:r>
        <w:rPr>
          <w:rFonts w:hint="eastAsia" w:ascii="Times New Roman" w:hAnsi="Times New Roman" w:eastAsia="仿宋_GB2312" w:cs="Times New Roman"/>
          <w:bCs/>
          <w:sz w:val="32"/>
          <w:szCs w:val="32"/>
          <w:lang w:val="en-US" w:eastAsia="zh-CN"/>
        </w:rPr>
        <w:t xml:space="preserve">   </w:t>
      </w:r>
      <w:bookmarkStart w:id="37" w:name="_Toc17776"/>
      <w:r>
        <w:rPr>
          <w:rFonts w:hint="eastAsia" w:ascii="Times New Roman" w:hAnsi="Times New Roman" w:eastAsia="仿宋_GB2312" w:cs="Times New Roman"/>
          <w:bCs/>
          <w:sz w:val="32"/>
          <w:szCs w:val="32"/>
        </w:rPr>
        <w:t>围绕“中国制造2025”总体部署</w:t>
      </w:r>
      <w:r>
        <w:rPr>
          <w:rFonts w:hint="eastAsia" w:ascii="Times New Roman" w:hAnsi="Times New Roman" w:eastAsia="仿宋_GB2312" w:cs="Times New Roman"/>
          <w:bCs/>
          <w:sz w:val="32"/>
          <w:szCs w:val="32"/>
          <w:lang w:val="en-US" w:eastAsia="zh-CN"/>
        </w:rPr>
        <w:t>和</w:t>
      </w:r>
      <w:r>
        <w:rPr>
          <w:rFonts w:hint="eastAsia" w:ascii="Times New Roman" w:hAnsi="Times New Roman" w:eastAsia="仿宋_GB2312" w:cs="Times New Roman"/>
          <w:bCs/>
          <w:sz w:val="32"/>
          <w:szCs w:val="32"/>
        </w:rPr>
        <w:t>县委县政府确定的“3+N”特色产业体系，突出链式发展、科技引领、园区攻坚、绿色发展，做优现代陶瓷和新材料，做强电子信息，做特通用航空，力争到2025年，现代陶瓷产业集群能级突破百亿元，新材料、通用航空</w:t>
      </w:r>
      <w:r>
        <w:rPr>
          <w:rFonts w:hint="eastAsia" w:ascii="Times New Roman" w:hAnsi="Times New Roman" w:eastAsia="仿宋_GB2312" w:cs="Times New Roman"/>
          <w:bCs/>
          <w:sz w:val="32"/>
          <w:szCs w:val="32"/>
          <w:lang w:val="en-US" w:eastAsia="zh-CN"/>
        </w:rPr>
        <w:t>及汽车零配件</w:t>
      </w:r>
      <w:r>
        <w:rPr>
          <w:rFonts w:hint="eastAsia" w:ascii="Times New Roman" w:hAnsi="Times New Roman" w:eastAsia="仿宋_GB2312" w:cs="Times New Roman"/>
          <w:bCs/>
          <w:sz w:val="32"/>
          <w:szCs w:val="32"/>
        </w:rPr>
        <w:t>、电子信息产业</w:t>
      </w:r>
      <w:r>
        <w:rPr>
          <w:rFonts w:hint="eastAsia" w:ascii="Times New Roman" w:hAnsi="Times New Roman" w:eastAsia="仿宋_GB2312" w:cs="Times New Roman"/>
          <w:bCs/>
          <w:sz w:val="32"/>
          <w:szCs w:val="32"/>
          <w:lang w:val="en-US" w:eastAsia="zh-CN"/>
        </w:rPr>
        <w:t>等三个</w:t>
      </w:r>
      <w:r>
        <w:rPr>
          <w:rFonts w:hint="eastAsia" w:ascii="Times New Roman" w:hAnsi="Times New Roman" w:eastAsia="仿宋_GB2312" w:cs="Times New Roman"/>
          <w:bCs/>
          <w:sz w:val="32"/>
          <w:szCs w:val="32"/>
        </w:rPr>
        <w:t>集群</w:t>
      </w:r>
      <w:r>
        <w:rPr>
          <w:rFonts w:hint="eastAsia" w:ascii="Times New Roman" w:hAnsi="Times New Roman" w:eastAsia="仿宋_GB2312" w:cs="Times New Roman"/>
          <w:bCs/>
          <w:sz w:val="32"/>
          <w:szCs w:val="32"/>
          <w:lang w:val="en-US" w:eastAsia="zh-CN"/>
        </w:rPr>
        <w:t>总</w:t>
      </w:r>
      <w:r>
        <w:rPr>
          <w:rFonts w:hint="eastAsia" w:ascii="Times New Roman" w:hAnsi="Times New Roman" w:eastAsia="仿宋_GB2312" w:cs="Times New Roman"/>
          <w:bCs/>
          <w:sz w:val="32"/>
          <w:szCs w:val="32"/>
        </w:rPr>
        <w:t>能级达到百亿元，规上工业企业数量</w:t>
      </w:r>
      <w:r>
        <w:rPr>
          <w:rFonts w:hint="eastAsia" w:ascii="Times New Roman" w:hAnsi="Times New Roman" w:eastAsia="仿宋_GB2312" w:cs="Times New Roman"/>
          <w:bCs/>
          <w:sz w:val="32"/>
          <w:szCs w:val="32"/>
          <w:lang w:val="en-US" w:eastAsia="zh-CN"/>
        </w:rPr>
        <w:t>达到50</w:t>
      </w:r>
      <w:r>
        <w:rPr>
          <w:rFonts w:hint="eastAsia" w:ascii="Times New Roman" w:hAnsi="Times New Roman" w:eastAsia="仿宋_GB2312" w:cs="Times New Roman"/>
          <w:bCs/>
          <w:sz w:val="32"/>
          <w:szCs w:val="32"/>
        </w:rPr>
        <w:t>家；到2030年，现代陶瓷</w:t>
      </w:r>
      <w:r>
        <w:rPr>
          <w:rFonts w:hint="eastAsia" w:ascii="Times New Roman" w:hAnsi="Times New Roman" w:eastAsia="仿宋_GB2312" w:cs="Times New Roman"/>
          <w:bCs/>
          <w:sz w:val="32"/>
          <w:szCs w:val="32"/>
          <w:lang w:val="en-US" w:eastAsia="zh-CN"/>
        </w:rPr>
        <w:t>产业集群</w:t>
      </w:r>
      <w:r>
        <w:rPr>
          <w:rFonts w:hint="eastAsia" w:ascii="Times New Roman" w:hAnsi="Times New Roman" w:eastAsia="仿宋_GB2312" w:cs="Times New Roman"/>
          <w:bCs/>
          <w:sz w:val="32"/>
          <w:szCs w:val="32"/>
        </w:rPr>
        <w:t>能级达到200亿元，电子信息产业集群能级达到</w:t>
      </w:r>
      <w:r>
        <w:rPr>
          <w:rFonts w:hint="eastAsia" w:ascii="Times New Roman" w:hAnsi="Times New Roman" w:eastAsia="仿宋_GB2312" w:cs="Times New Roman"/>
          <w:bCs/>
          <w:sz w:val="32"/>
          <w:szCs w:val="32"/>
          <w:lang w:val="en-US" w:eastAsia="zh-CN"/>
        </w:rPr>
        <w:t>100亿元</w:t>
      </w:r>
      <w:r>
        <w:rPr>
          <w:rFonts w:hint="eastAsia" w:ascii="Times New Roman" w:hAnsi="Times New Roman" w:eastAsia="仿宋_GB2312" w:cs="Times New Roman"/>
          <w:bCs/>
          <w:sz w:val="32"/>
          <w:szCs w:val="32"/>
        </w:rPr>
        <w:t>，新材料、通用航空</w:t>
      </w:r>
      <w:r>
        <w:rPr>
          <w:rFonts w:hint="eastAsia" w:ascii="Times New Roman" w:hAnsi="Times New Roman" w:eastAsia="仿宋_GB2312" w:cs="Times New Roman"/>
          <w:bCs/>
          <w:sz w:val="32"/>
          <w:szCs w:val="32"/>
          <w:lang w:val="en-US" w:eastAsia="zh-CN"/>
        </w:rPr>
        <w:t>及汽车零配件两个产业集群能级分别</w:t>
      </w:r>
      <w:r>
        <w:rPr>
          <w:rFonts w:hint="eastAsia" w:ascii="Times New Roman" w:hAnsi="Times New Roman" w:eastAsia="仿宋_GB2312" w:cs="Times New Roman"/>
          <w:bCs/>
          <w:sz w:val="32"/>
          <w:szCs w:val="32"/>
        </w:rPr>
        <w:t>达到50亿</w:t>
      </w:r>
      <w:r>
        <w:rPr>
          <w:rFonts w:hint="eastAsia" w:ascii="Times New Roman" w:hAnsi="Times New Roman" w:eastAsia="仿宋_GB2312" w:cs="Times New Roman"/>
          <w:bCs/>
          <w:sz w:val="32"/>
          <w:szCs w:val="32"/>
          <w:lang w:val="en-US" w:eastAsia="zh-CN"/>
        </w:rPr>
        <w:t>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规上工业企业数量</w:t>
      </w:r>
      <w:r>
        <w:rPr>
          <w:rFonts w:hint="eastAsia" w:ascii="Times New Roman" w:hAnsi="Times New Roman" w:eastAsia="仿宋_GB2312" w:cs="Times New Roman"/>
          <w:bCs/>
          <w:sz w:val="32"/>
          <w:szCs w:val="32"/>
          <w:lang w:val="en-US" w:eastAsia="zh-CN"/>
        </w:rPr>
        <w:t>达到70</w:t>
      </w:r>
      <w:r>
        <w:rPr>
          <w:rFonts w:hint="eastAsia" w:ascii="Times New Roman" w:hAnsi="Times New Roman" w:eastAsia="仿宋_GB2312" w:cs="Times New Roman"/>
          <w:bCs/>
          <w:sz w:val="32"/>
          <w:szCs w:val="32"/>
        </w:rPr>
        <w:t>家</w:t>
      </w:r>
      <w:r>
        <w:rPr>
          <w:rFonts w:hint="eastAsia" w:ascii="Times New Roman" w:hAnsi="Times New Roman" w:eastAsia="仿宋_GB2312" w:cs="Times New Roman"/>
          <w:bCs/>
          <w:sz w:val="32"/>
          <w:szCs w:val="32"/>
          <w:lang w:eastAsia="zh-CN"/>
        </w:rPr>
        <w:t>。</w:t>
      </w:r>
      <w:bookmarkEnd w:id="37"/>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一、现代陶瓷</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浮梁产业园为主平台，以乐华、金意陶、景龙等龙头企业为支柱，围绕“突出特色、优势互动、错位突破、集群发展”的要求，全力构建先进陶瓷产业链，进一步提升建筑卫生陶瓷档次和水平，发展壮大手工制瓷。到2025年，现代陶瓷产业能级突破100亿元；到2030年，产业能级再翻一番，达到200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二、新材料</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立足产业基础，充分利用先进陶瓷粉体研究中心研发优势，万微粉体制备优势，景华特陶、景龙特陶、景光电子等一批企业应用优势，大力推动协同创新，加快推动粉体材料特别是高纯精细氧化铝粉体集聚。利用景德镇陶瓷大学膜领域已经成熟的技术，围绕膜材料产业聚集，加快发展隔热材料，加快培育微孔膜陶瓷分离膜、冶金过滤用多孔陶瓷等产业化技术项目，重点招引下游的高温气体装置制备、冶金过滤陶瓷装置等膜材料企业。进一步加强金绿能节能排放引导，持续推进降低制造成本。加快推动</w:t>
      </w:r>
      <w:r>
        <w:rPr>
          <w:rFonts w:hint="eastAsia" w:ascii="Times New Roman" w:hAnsi="Times New Roman" w:eastAsia="仿宋_GB2312" w:cs="Times New Roman"/>
          <w:bCs/>
          <w:sz w:val="32"/>
          <w:szCs w:val="32"/>
          <w:lang w:val="en-US" w:eastAsia="zh-CN"/>
        </w:rPr>
        <w:t>寿安工业基地</w:t>
      </w:r>
      <w:r>
        <w:rPr>
          <w:rFonts w:hint="eastAsia" w:ascii="Times New Roman" w:hAnsi="Times New Roman" w:eastAsia="仿宋_GB2312" w:cs="Times New Roman"/>
          <w:bCs/>
          <w:sz w:val="32"/>
          <w:szCs w:val="32"/>
        </w:rPr>
        <w:t>建设，重点发展高端钙产品加工产业。力争到2025年，新材料产业集群基本形成，产业能级达到</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0亿元；到2030年，产业能级达到</w:t>
      </w:r>
      <w:r>
        <w:rPr>
          <w:rFonts w:hint="eastAsia" w:ascii="Times New Roman" w:hAnsi="Times New Roman" w:eastAsia="仿宋_GB2312" w:cs="Times New Roman"/>
          <w:bCs/>
          <w:sz w:val="32"/>
          <w:szCs w:val="32"/>
          <w:lang w:val="en-US" w:eastAsia="zh-CN"/>
        </w:rPr>
        <w:t>5</w:t>
      </w:r>
      <w:r>
        <w:rPr>
          <w:rFonts w:hint="eastAsia" w:ascii="Times New Roman" w:hAnsi="Times New Roman" w:eastAsia="仿宋_GB2312" w:cs="Times New Roman"/>
          <w:bCs/>
          <w:sz w:val="32"/>
          <w:szCs w:val="32"/>
        </w:rPr>
        <w:t>0亿元。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三、电子信息</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推动以晴数字经济产业园中科泛半导体项目达产达标，支持景华特陶、景龙特陶、景光电子等企业致力发展陶瓷真空电容器、陶瓷真空继电器，不断巩固和强化竞争优势，</w:t>
      </w:r>
      <w:r>
        <w:rPr>
          <w:rFonts w:ascii="Times New Roman" w:hAnsi="Times New Roman" w:eastAsia="仿宋_GB2312" w:cs="Times New Roman"/>
          <w:bCs/>
          <w:sz w:val="32"/>
          <w:szCs w:val="32"/>
        </w:rPr>
        <w:t>做大做强</w:t>
      </w:r>
      <w:r>
        <w:rPr>
          <w:rFonts w:hint="eastAsia" w:ascii="Times New Roman" w:hAnsi="Times New Roman" w:eastAsia="仿宋_GB2312" w:cs="Times New Roman"/>
          <w:bCs/>
          <w:sz w:val="32"/>
          <w:szCs w:val="32"/>
        </w:rPr>
        <w:t>。延展电真空陶瓷产业链，大力培育密封件、继电器、特种开关、温控器、传感器、保险管等高附加值零部件和集成产品。以浮梁产业园三龙片区和万微粉体项目为依托，积极引入软硬件设备制造商，开发智能可穿戴设备。积极寻求与行业领先企业合作，推动智能可穿戴设备在卫生陶瓷洁具行业的应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瞄准5G建设和商业应用需求，支持万平电子智能化改造，做大片式电容、片式电阻、片式电感，带动陶瓷基板等关联产品发展。力争到2025年，电子信息产业集群能级</w:t>
      </w:r>
      <w:r>
        <w:rPr>
          <w:rFonts w:hint="eastAsia" w:ascii="Times New Roman" w:hAnsi="Times New Roman" w:eastAsia="仿宋_GB2312" w:cs="Times New Roman"/>
          <w:bCs/>
          <w:sz w:val="32"/>
          <w:szCs w:val="32"/>
          <w:lang w:val="en-US" w:eastAsia="zh-CN"/>
        </w:rPr>
        <w:t>达到50</w:t>
      </w:r>
      <w:r>
        <w:rPr>
          <w:rFonts w:hint="eastAsia" w:ascii="Times New Roman" w:hAnsi="Times New Roman" w:eastAsia="仿宋_GB2312" w:cs="Times New Roman"/>
          <w:bCs/>
          <w:sz w:val="32"/>
          <w:szCs w:val="32"/>
        </w:rPr>
        <w:t>亿元；到2030年，产业能级达到100亿元。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22"/>
          <w:lang w:val="en-US" w:eastAsia="zh-CN"/>
        </w:rPr>
      </w:pPr>
      <w:r>
        <w:rPr>
          <w:rFonts w:hint="eastAsia" w:ascii="Times New Roman" w:hAnsi="Times New Roman" w:eastAsia="楷体_GB2312" w:cs="Times New Roman"/>
          <w:b/>
          <w:bCs/>
          <w:sz w:val="32"/>
          <w:szCs w:val="22"/>
        </w:rPr>
        <w:t>四、通用航空</w:t>
      </w:r>
      <w:r>
        <w:rPr>
          <w:rFonts w:hint="eastAsia" w:ascii="Times New Roman" w:hAnsi="Times New Roman" w:eastAsia="楷体_GB2312" w:cs="Times New Roman"/>
          <w:b/>
          <w:bCs/>
          <w:sz w:val="32"/>
          <w:szCs w:val="22"/>
          <w:lang w:val="en-US" w:eastAsia="zh-CN"/>
        </w:rPr>
        <w:t>及汽车零配件</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以景德镇市航空产业为中心，依托航空人才和技术的优势基础，大力扶持江西昌兴航空装备公司分公司、景迪汽车配件公司等企业发展，大力推动航空零部件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汽车零配件</w:t>
      </w:r>
      <w:r>
        <w:rPr>
          <w:rFonts w:hint="eastAsia" w:ascii="Times New Roman" w:hAnsi="Times New Roman" w:eastAsia="仿宋_GB2312" w:cs="Times New Roman"/>
          <w:bCs/>
          <w:sz w:val="32"/>
          <w:szCs w:val="32"/>
        </w:rPr>
        <w:t>机械加工企业发展，促进航空技术人才</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汽车技术人才</w:t>
      </w:r>
      <w:r>
        <w:rPr>
          <w:rFonts w:hint="eastAsia" w:ascii="Times New Roman" w:hAnsi="Times New Roman" w:eastAsia="仿宋_GB2312" w:cs="Times New Roman"/>
          <w:bCs/>
          <w:sz w:val="32"/>
          <w:szCs w:val="32"/>
        </w:rPr>
        <w:t>优势转化为生产力</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力争到2025年，通用航空</w:t>
      </w:r>
      <w:r>
        <w:rPr>
          <w:rFonts w:hint="eastAsia" w:ascii="Times New Roman" w:hAnsi="Times New Roman" w:eastAsia="仿宋_GB2312" w:cs="Times New Roman"/>
          <w:bCs/>
          <w:sz w:val="32"/>
          <w:szCs w:val="32"/>
          <w:lang w:val="en-US" w:eastAsia="zh-CN"/>
        </w:rPr>
        <w:t>及汽车零配件</w:t>
      </w:r>
      <w:r>
        <w:rPr>
          <w:rFonts w:hint="eastAsia" w:ascii="Times New Roman" w:hAnsi="Times New Roman" w:eastAsia="仿宋_GB2312" w:cs="Times New Roman"/>
          <w:bCs/>
          <w:sz w:val="32"/>
          <w:szCs w:val="32"/>
        </w:rPr>
        <w:t>产业集群基本形成，产业能级达到20亿元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到2030年，产业能级再上新台阶，达到50亿元。</w:t>
      </w:r>
    </w:p>
    <w:p>
      <w:pPr>
        <w:pStyle w:val="7"/>
        <w:rPr>
          <w:rFonts w:hint="default"/>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5"/>
              <w:jc w:val="center"/>
              <w:rPr>
                <w:rFonts w:ascii="仿宋_GB2312" w:eastAsia="仿宋_GB2312" w:cs="仿宋_GB2312" w:hAnsiTheme="minorHAnsi"/>
                <w:b/>
                <w:bCs/>
                <w:color w:val="000000"/>
                <w:sz w:val="28"/>
                <w:szCs w:val="28"/>
              </w:rPr>
            </w:pPr>
            <w:r>
              <w:rPr>
                <w:rFonts w:hint="eastAsia" w:ascii="仿宋_GB2312" w:eastAsia="仿宋_GB2312" w:cs="仿宋_GB2312" w:hAnsiTheme="minorHAnsi"/>
                <w:b/>
                <w:bCs/>
                <w:color w:val="000000"/>
                <w:sz w:val="28"/>
                <w:szCs w:val="28"/>
              </w:rPr>
              <w:t>专栏2：工业发展指引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1.先进陶瓷。</w:t>
            </w:r>
            <w:r>
              <w:rPr>
                <w:rFonts w:hint="eastAsia" w:ascii="仿宋" w:hAnsi="仿宋" w:eastAsia="仿宋"/>
                <w:color w:val="000000" w:themeColor="text1"/>
                <w:sz w:val="24"/>
                <w14:textFill>
                  <w14:solidFill>
                    <w14:schemeClr w14:val="tx1"/>
                  </w14:solidFill>
                </w14:textFill>
              </w:rPr>
              <w:t>瞄准产业发展制高点，将新能源领域先进陶瓷作为重中之重予以优先扶持，将陶瓷金属化作为重要支撑、通讯电子陶瓷和节能环保陶瓷作为先导产业予以大力扶持，积极培育生物陶瓷和穿戴陶瓷，积极引导符合发展导向，科技水平高、发展潜力大、带动力强的其他先进陶瓷细分领域项目落户先行区。力争到2025年，先进陶瓷产业能级达到70亿元；到2030年</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产业能级实现翻番，达到150亿元。</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2.建筑卫生陶瓷。</w:t>
            </w:r>
            <w:r>
              <w:rPr>
                <w:rFonts w:hint="eastAsia" w:ascii="仿宋" w:hAnsi="仿宋" w:eastAsia="仿宋"/>
                <w:color w:val="000000" w:themeColor="text1"/>
                <w:sz w:val="24"/>
                <w14:textFill>
                  <w14:solidFill>
                    <w14:schemeClr w14:val="tx1"/>
                  </w14:solidFill>
                </w14:textFill>
              </w:rPr>
              <w:t>加快建筑卫生陶瓷技术改造步伐，鼓励相关企业应用高新技术及装备，推进新一代信息技术与制造融合，提高生产装备智能化、生产过程自动化、生产管控一体化、产业链协同水平。提升卫生陶瓷科技含量和制造水平，以轻质化、环保化、固体废弃物利用为方向，发展高端、节能、绿色建筑陶瓷和智能卫浴产品。 力争到2025年，建筑卫生陶瓷产业能级达到30亿元；到2030年，产业能级达到50亿元。</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3.手工制瓷。</w:t>
            </w:r>
            <w:r>
              <w:rPr>
                <w:rFonts w:hint="eastAsia" w:ascii="仿宋" w:hAnsi="仿宋" w:eastAsia="仿宋"/>
                <w:color w:val="000000" w:themeColor="text1"/>
                <w:sz w:val="24"/>
                <w14:textFill>
                  <w14:solidFill>
                    <w14:schemeClr w14:val="tx1"/>
                  </w14:solidFill>
                </w14:textFill>
              </w:rPr>
              <w:t>发挥皇窑等企业龙头专业，加快推进三龙MR陶瓷数字产业园建设，在王港乡高沙、大岭规划建设手工制瓷产业园，结合全域旅游示范区和乡村振兴示范区建设，加快产业集成，推动手工制瓷集群化、特色化、品牌化发展。</w:t>
            </w:r>
          </w:p>
          <w:p>
            <w:pPr>
              <w:ind w:firstLine="482" w:firstLineChars="200"/>
              <w:rPr>
                <w:rFonts w:hint="eastAsia"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4.陶瓷粉体材料。</w:t>
            </w:r>
            <w:r>
              <w:rPr>
                <w:rFonts w:hint="eastAsia" w:ascii="仿宋" w:hAnsi="仿宋" w:eastAsia="仿宋"/>
                <w:color w:val="000000" w:themeColor="text1"/>
                <w:sz w:val="24"/>
                <w14:textFill>
                  <w14:solidFill>
                    <w14:schemeClr w14:val="tx1"/>
                  </w14:solidFill>
                </w14:textFill>
              </w:rPr>
              <w:t>支持万微粉体与国瓷、东方锆业、恒博新材料、华旺等国内优秀氧化锆粉体制备企业合作，引进氧化锆粉体制备技术和装备，快速形成氧化锆粉体产能。鼓励支持先进陶瓷粉体研究中心，加大陶瓷3D打印先驱体及添加剂研发，引导本土企业发展转型发展陶瓷3D打印先驱体及添加剂，加快推进3D打印技术在本土陶瓷制造企业应用，积极引育国内3D打印装备制造企业，形成较为完整的陶瓷3D打印产业链。力争到2025年高纯超细氧化铝达到10000吨、纳米复合氧化锆达到400吨、陶瓷3D打印先驱体及添加剂达到1000吨，产业集群</w:t>
            </w:r>
            <w:r>
              <w:rPr>
                <w:rFonts w:hint="eastAsia" w:ascii="仿宋" w:hAnsi="仿宋" w:eastAsia="仿宋"/>
                <w:color w:val="000000" w:themeColor="text1"/>
                <w:sz w:val="24"/>
                <w:lang w:val="en-US" w:eastAsia="zh-CN"/>
                <w14:textFill>
                  <w14:solidFill>
                    <w14:schemeClr w14:val="tx1"/>
                  </w14:solidFill>
                </w14:textFill>
              </w:rPr>
              <w:t>能级达到10亿元</w:t>
            </w:r>
            <w:r>
              <w:rPr>
                <w:rFonts w:hint="eastAsia" w:ascii="仿宋" w:hAnsi="仿宋" w:eastAsia="仿宋"/>
                <w:color w:val="000000" w:themeColor="text1"/>
                <w:sz w:val="24"/>
                <w14:textFill>
                  <w14:solidFill>
                    <w14:schemeClr w14:val="tx1"/>
                  </w14:solidFill>
                </w14:textFill>
              </w:rPr>
              <w:t>；到2030年高纯超细氧化铝达到15000吨、纳米复合氧化锆达到1000吨、陶瓷3D打印先驱体及添加剂达到2000吨，产业集群</w:t>
            </w:r>
            <w:r>
              <w:rPr>
                <w:rFonts w:hint="eastAsia" w:ascii="仿宋" w:hAnsi="仿宋" w:eastAsia="仿宋"/>
                <w:color w:val="000000" w:themeColor="text1"/>
                <w:sz w:val="24"/>
                <w:lang w:val="en-US" w:eastAsia="zh-CN"/>
                <w14:textFill>
                  <w14:solidFill>
                    <w14:schemeClr w14:val="tx1"/>
                  </w14:solidFill>
                </w14:textFill>
              </w:rPr>
              <w:t>能级达到2</w:t>
            </w:r>
            <w:r>
              <w:rPr>
                <w:rFonts w:hint="eastAsia" w:ascii="仿宋" w:hAnsi="仿宋" w:eastAsia="仿宋"/>
                <w:color w:val="000000" w:themeColor="text1"/>
                <w:sz w:val="24"/>
                <w14:textFill>
                  <w14:solidFill>
                    <w14:schemeClr w14:val="tx1"/>
                  </w14:solidFill>
                </w14:textFill>
              </w:rPr>
              <w:t>0亿元。</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5.膜材料。</w:t>
            </w:r>
            <w:r>
              <w:rPr>
                <w:rFonts w:hint="eastAsia" w:ascii="仿宋" w:hAnsi="仿宋" w:eastAsia="仿宋"/>
                <w:color w:val="000000" w:themeColor="text1"/>
                <w:sz w:val="24"/>
                <w14:textFill>
                  <w14:solidFill>
                    <w14:schemeClr w14:val="tx1"/>
                  </w14:solidFill>
                </w14:textFill>
              </w:rPr>
              <w:t>加快发展隔热材料，加快培育微孔膜陶瓷分离膜、冶金过滤用多孔陶瓷等产业化技术项目，重点招引下游的高温气体装置制备、冶金过滤陶瓷装置等膜材料企业。力争到2025年膜材料超过5亿元；到2030年，超过10亿元。</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6.新型建材。</w:t>
            </w:r>
            <w:r>
              <w:rPr>
                <w:rFonts w:hint="eastAsia" w:ascii="仿宋" w:hAnsi="仿宋" w:eastAsia="仿宋"/>
                <w:color w:val="000000" w:themeColor="text1"/>
                <w:sz w:val="24"/>
                <w14:textFill>
                  <w14:solidFill>
                    <w14:schemeClr w14:val="tx1"/>
                  </w14:solidFill>
                </w14:textFill>
              </w:rPr>
              <w:t>进一步加强金绿能节能排放引导，持续推进降低制造成本。以环保示范工程、装配式建筑方式支持新型建材的推广应用。力争到 2025 年新型建材</w:t>
            </w:r>
            <w:r>
              <w:rPr>
                <w:rFonts w:hint="eastAsia" w:ascii="仿宋" w:hAnsi="仿宋" w:eastAsia="仿宋"/>
                <w:color w:val="000000" w:themeColor="text1"/>
                <w:sz w:val="24"/>
                <w:lang w:val="en-US" w:eastAsia="zh-CN"/>
                <w14:textFill>
                  <w14:solidFill>
                    <w14:schemeClr w14:val="tx1"/>
                  </w14:solidFill>
                </w14:textFill>
              </w:rPr>
              <w:t>集群能级达到</w:t>
            </w:r>
            <w:r>
              <w:rPr>
                <w:rFonts w:hint="eastAsia"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lang w:val="en-US" w:eastAsia="zh-CN"/>
                <w14:textFill>
                  <w14:solidFill>
                    <w14:schemeClr w14:val="tx1"/>
                  </w14:solidFill>
                </w14:textFill>
              </w:rPr>
              <w:t>0</w:t>
            </w:r>
            <w:r>
              <w:rPr>
                <w:rFonts w:hint="eastAsia" w:ascii="仿宋" w:hAnsi="仿宋" w:eastAsia="仿宋"/>
                <w:color w:val="000000" w:themeColor="text1"/>
                <w:sz w:val="24"/>
                <w14:textFill>
                  <w14:solidFill>
                    <w14:schemeClr w14:val="tx1"/>
                  </w14:solidFill>
                </w14:textFill>
              </w:rPr>
              <w:t>亿元；到2030年，产业集群</w:t>
            </w:r>
            <w:r>
              <w:rPr>
                <w:rFonts w:hint="eastAsia" w:ascii="仿宋" w:hAnsi="仿宋" w:eastAsia="仿宋"/>
                <w:color w:val="000000" w:themeColor="text1"/>
                <w:sz w:val="24"/>
                <w:lang w:val="en-US" w:eastAsia="zh-CN"/>
                <w14:textFill>
                  <w14:solidFill>
                    <w14:schemeClr w14:val="tx1"/>
                  </w14:solidFill>
                </w14:textFill>
              </w:rPr>
              <w:t>能级达到2</w:t>
            </w:r>
            <w:r>
              <w:rPr>
                <w:rFonts w:hint="eastAsia" w:ascii="仿宋" w:hAnsi="仿宋" w:eastAsia="仿宋"/>
                <w:color w:val="000000" w:themeColor="text1"/>
                <w:sz w:val="24"/>
                <w14:textFill>
                  <w14:solidFill>
                    <w14:schemeClr w14:val="tx1"/>
                  </w14:solidFill>
                </w14:textFill>
              </w:rPr>
              <w:t>0亿元。</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7.电子信息。</w:t>
            </w:r>
            <w:r>
              <w:rPr>
                <w:rFonts w:hint="eastAsia" w:ascii="仿宋" w:hAnsi="仿宋" w:eastAsia="仿宋"/>
                <w:color w:val="000000" w:themeColor="text1"/>
                <w:sz w:val="24"/>
                <w14:textFill>
                  <w14:solidFill>
                    <w14:schemeClr w14:val="tx1"/>
                  </w14:solidFill>
                </w14:textFill>
              </w:rPr>
              <w:t>大力推动中科泛半导体项目达产达标，推动电子零部件专业化配套，延展电真空陶瓷产业链，大力培育密封件、继电器、特种开关、温控器、传感器、保险管等高附加值零部件和集成产品，力争到2025年，</w:t>
            </w:r>
            <w:r>
              <w:rPr>
                <w:rFonts w:hint="eastAsia" w:ascii="仿宋" w:hAnsi="仿宋" w:eastAsia="仿宋"/>
                <w:color w:val="000000" w:themeColor="text1"/>
                <w:sz w:val="24"/>
                <w:lang w:val="en-US" w:eastAsia="zh-CN"/>
                <w14:textFill>
                  <w14:solidFill>
                    <w14:schemeClr w14:val="tx1"/>
                  </w14:solidFill>
                </w14:textFill>
              </w:rPr>
              <w:t>电子信息产业集群能级达到50亿元，</w:t>
            </w:r>
            <w:r>
              <w:rPr>
                <w:rFonts w:hint="eastAsia" w:ascii="仿宋" w:hAnsi="仿宋" w:eastAsia="仿宋"/>
                <w:color w:val="000000" w:themeColor="text1"/>
                <w:sz w:val="24"/>
                <w14:textFill>
                  <w14:solidFill>
                    <w14:schemeClr w14:val="tx1"/>
                  </w14:solidFill>
                </w14:textFill>
              </w:rPr>
              <w:t>到20</w:t>
            </w:r>
            <w:r>
              <w:rPr>
                <w:rFonts w:hint="eastAsia" w:ascii="仿宋" w:hAnsi="仿宋" w:eastAsia="仿宋"/>
                <w:color w:val="000000" w:themeColor="text1"/>
                <w:sz w:val="24"/>
                <w:lang w:val="en-US" w:eastAsia="zh-CN"/>
                <w14:textFill>
                  <w14:solidFill>
                    <w14:schemeClr w14:val="tx1"/>
                  </w14:solidFill>
                </w14:textFill>
              </w:rPr>
              <w:t>30</w:t>
            </w:r>
            <w:r>
              <w:rPr>
                <w:rFonts w:hint="eastAsia" w:ascii="仿宋" w:hAnsi="仿宋" w:eastAsia="仿宋"/>
                <w:color w:val="000000" w:themeColor="text1"/>
                <w:sz w:val="24"/>
                <w14:textFill>
                  <w14:solidFill>
                    <w14:schemeClr w14:val="tx1"/>
                  </w14:solidFill>
                </w14:textFill>
              </w:rPr>
              <w:t>年</w:t>
            </w:r>
            <w:r>
              <w:rPr>
                <w:rFonts w:hint="eastAsia" w:ascii="仿宋" w:hAnsi="仿宋" w:eastAsia="仿宋"/>
                <w:color w:val="000000" w:themeColor="text1"/>
                <w:sz w:val="24"/>
                <w:lang w:val="en-US" w:eastAsia="zh-CN"/>
                <w14:textFill>
                  <w14:solidFill>
                    <w14:schemeClr w14:val="tx1"/>
                  </w14:solidFill>
                </w14:textFill>
              </w:rPr>
              <w:t>电子信息</w:t>
            </w:r>
            <w:r>
              <w:rPr>
                <w:rFonts w:hint="eastAsia" w:ascii="仿宋" w:hAnsi="仿宋" w:eastAsia="仿宋"/>
                <w:color w:val="000000" w:themeColor="text1"/>
                <w:sz w:val="24"/>
                <w14:textFill>
                  <w14:solidFill>
                    <w14:schemeClr w14:val="tx1"/>
                  </w14:solidFill>
                </w14:textFill>
              </w:rPr>
              <w:t>产业</w:t>
            </w:r>
            <w:r>
              <w:rPr>
                <w:rFonts w:hint="eastAsia" w:ascii="仿宋" w:hAnsi="仿宋" w:eastAsia="仿宋"/>
                <w:color w:val="000000" w:themeColor="text1"/>
                <w:sz w:val="24"/>
                <w:lang w:val="en-US" w:eastAsia="zh-CN"/>
                <w14:textFill>
                  <w14:solidFill>
                    <w14:schemeClr w14:val="tx1"/>
                  </w14:solidFill>
                </w14:textFill>
              </w:rPr>
              <w:t>集群</w:t>
            </w:r>
            <w:r>
              <w:rPr>
                <w:rFonts w:hint="eastAsia" w:ascii="仿宋" w:hAnsi="仿宋" w:eastAsia="仿宋"/>
                <w:color w:val="000000" w:themeColor="text1"/>
                <w:sz w:val="24"/>
                <w14:textFill>
                  <w14:solidFill>
                    <w14:schemeClr w14:val="tx1"/>
                  </w14:solidFill>
                </w14:textFill>
              </w:rPr>
              <w:t>能级达到10</w:t>
            </w:r>
            <w:r>
              <w:rPr>
                <w:rFonts w:hint="eastAsia" w:ascii="仿宋" w:hAnsi="仿宋" w:eastAsia="仿宋"/>
                <w:color w:val="000000" w:themeColor="text1"/>
                <w:sz w:val="24"/>
                <w:lang w:val="en-US" w:eastAsia="zh-CN"/>
                <w14:textFill>
                  <w14:solidFill>
                    <w14:schemeClr w14:val="tx1"/>
                  </w14:solidFill>
                </w14:textFill>
              </w:rPr>
              <w:t>0</w:t>
            </w:r>
            <w:r>
              <w:rPr>
                <w:rFonts w:hint="eastAsia" w:ascii="仿宋" w:hAnsi="仿宋" w:eastAsia="仿宋"/>
                <w:color w:val="000000" w:themeColor="text1"/>
                <w:sz w:val="24"/>
                <w14:textFill>
                  <w14:solidFill>
                    <w14:schemeClr w14:val="tx1"/>
                  </w14:solidFill>
                </w14:textFill>
              </w:rPr>
              <w:t>亿元。</w:t>
            </w:r>
          </w:p>
          <w:p>
            <w:pPr>
              <w:ind w:firstLine="482" w:firstLineChars="200"/>
              <w:rPr>
                <w:rFonts w:hint="eastAsia" w:eastAsia="仿宋"/>
                <w:lang w:eastAsia="zh-CN"/>
              </w:rPr>
            </w:pPr>
            <w:r>
              <w:rPr>
                <w:rFonts w:hint="eastAsia" w:ascii="仿宋" w:hAnsi="仿宋" w:eastAsia="仿宋"/>
                <w:b/>
                <w:bCs/>
                <w:color w:val="000000" w:themeColor="text1"/>
                <w:sz w:val="24"/>
                <w14:textFill>
                  <w14:solidFill>
                    <w14:schemeClr w14:val="tx1"/>
                  </w14:solidFill>
                </w14:textFill>
              </w:rPr>
              <w:t>8.通用航空</w:t>
            </w:r>
            <w:r>
              <w:rPr>
                <w:rFonts w:hint="eastAsia" w:ascii="仿宋" w:hAnsi="仿宋" w:eastAsia="仿宋"/>
                <w:b/>
                <w:bCs/>
                <w:color w:val="000000" w:themeColor="text1"/>
                <w:sz w:val="24"/>
                <w:lang w:val="en-US" w:eastAsia="zh-CN"/>
                <w14:textFill>
                  <w14:solidFill>
                    <w14:schemeClr w14:val="tx1"/>
                  </w14:solidFill>
                </w14:textFill>
              </w:rPr>
              <w:t>及汽车零配件</w:t>
            </w:r>
            <w:r>
              <w:rPr>
                <w:rFonts w:hint="eastAsia" w:ascii="仿宋" w:hAnsi="仿宋" w:eastAsia="仿宋"/>
                <w:b/>
                <w:bCs/>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重点谋划发展金属智造产业关联的汽车零部件、电器、铝型材、稀有金属等项目，打造省内知名的金属制品产业基地和国内著名金属制品制造产业基地。着力推进金属制品高端化、终端化、成套化、智能化，发展具有品牌效应的建筑五金、新型焊接材料、户外休闲用品、家用五金，重点支持汽车零部件、关键机械基础零部件等产品培育，尤其是和航空航天、船舶航母相关部件研发和制造；拓展通用设备制造、休闲自行车、模具等关联制造业发展。力争到2025年，产业集群能级达到20亿元</w:t>
            </w:r>
            <w:r>
              <w:rPr>
                <w:rFonts w:hint="eastAsia" w:ascii="仿宋" w:hAnsi="仿宋" w:eastAsia="仿宋"/>
                <w:color w:val="000000" w:themeColor="text1"/>
                <w:sz w:val="24"/>
                <w:lang w:eastAsia="zh-CN"/>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到20</w:t>
            </w:r>
            <w:r>
              <w:rPr>
                <w:rFonts w:hint="eastAsia" w:ascii="仿宋" w:hAnsi="仿宋" w:eastAsia="仿宋"/>
                <w:color w:val="000000" w:themeColor="text1"/>
                <w:sz w:val="24"/>
                <w:lang w:val="en-US" w:eastAsia="zh-CN"/>
                <w14:textFill>
                  <w14:solidFill>
                    <w14:schemeClr w14:val="tx1"/>
                  </w14:solidFill>
                </w14:textFill>
              </w:rPr>
              <w:t>30</w:t>
            </w:r>
            <w:r>
              <w:rPr>
                <w:rFonts w:hint="eastAsia" w:ascii="仿宋" w:hAnsi="仿宋" w:eastAsia="仿宋"/>
                <w:color w:val="000000" w:themeColor="text1"/>
                <w:sz w:val="24"/>
                <w14:textFill>
                  <w14:solidFill>
                    <w14:schemeClr w14:val="tx1"/>
                  </w14:solidFill>
                </w14:textFill>
              </w:rPr>
              <w:t>年产业</w:t>
            </w:r>
            <w:r>
              <w:rPr>
                <w:rFonts w:hint="eastAsia" w:ascii="仿宋" w:hAnsi="仿宋" w:eastAsia="仿宋"/>
                <w:color w:val="000000" w:themeColor="text1"/>
                <w:sz w:val="24"/>
                <w:lang w:val="en-US" w:eastAsia="zh-CN"/>
                <w14:textFill>
                  <w14:solidFill>
                    <w14:schemeClr w14:val="tx1"/>
                  </w14:solidFill>
                </w14:textFill>
              </w:rPr>
              <w:t>集群</w:t>
            </w:r>
            <w:r>
              <w:rPr>
                <w:rFonts w:hint="eastAsia" w:ascii="仿宋" w:hAnsi="仿宋" w:eastAsia="仿宋"/>
                <w:color w:val="000000" w:themeColor="text1"/>
                <w:sz w:val="24"/>
                <w14:textFill>
                  <w14:solidFill>
                    <w14:schemeClr w14:val="tx1"/>
                  </w14:solidFill>
                </w14:textFill>
              </w:rPr>
              <w:t>能级达到</w:t>
            </w:r>
            <w:r>
              <w:rPr>
                <w:rFonts w:hint="eastAsia" w:ascii="仿宋" w:hAnsi="仿宋" w:eastAsia="仿宋"/>
                <w:color w:val="000000" w:themeColor="text1"/>
                <w:sz w:val="24"/>
                <w:lang w:val="en-US" w:eastAsia="zh-CN"/>
                <w14:textFill>
                  <w14:solidFill>
                    <w14:schemeClr w14:val="tx1"/>
                  </w14:solidFill>
                </w14:textFill>
              </w:rPr>
              <w:t>50</w:t>
            </w:r>
            <w:r>
              <w:rPr>
                <w:rFonts w:hint="eastAsia" w:ascii="仿宋" w:hAnsi="仿宋" w:eastAsia="仿宋"/>
                <w:color w:val="000000" w:themeColor="text1"/>
                <w:sz w:val="24"/>
                <w14:textFill>
                  <w14:solidFill>
                    <w14:schemeClr w14:val="tx1"/>
                  </w14:solidFill>
                </w14:textFill>
              </w:rPr>
              <w:t>亿元。</w:t>
            </w:r>
          </w:p>
        </w:tc>
      </w:tr>
    </w:tbl>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38" w:name="_Toc13642"/>
      <w:r>
        <w:rPr>
          <w:rFonts w:hint="eastAsia" w:ascii="Times New Roman" w:hAnsi="Times New Roman" w:eastAsia="黑体" w:cs="Times New Roman"/>
          <w:sz w:val="32"/>
          <w:szCs w:val="32"/>
        </w:rPr>
        <w:t>第三节  现代服务业</w:t>
      </w:r>
      <w:bookmarkEnd w:id="38"/>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聚焦“做示范、勇争先”目标定位和“五新战略”更高要求，着力推动生产性服务业向专业化和价值链高端延伸、生活性服务业向精细化和高品质转变，大力培育发展现代服务业，推动服务业和现代农业、先进制造业互促互进，深度融合，不断提高服务业效率和品质，努力构建以文化旅游为先导的优质高效、充满活力、竞争力强的现代服务产业新体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一、旅游业</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全域融合、文化引领、创新驱动、市场导向”为总体思路，发挥旅游产业在新平先行区发展中的地位，将融合理念渗透到一、二、三产业的全过程，在争创国家全域旅游示范县中先行先试。到2025年，力争创建国家5A级旅游景区1家、4A级旅游景区1家，5A级乡村旅游点1家、4A级乡村旅游点2家，年接待游客量达1000万人次，旅游综合收入达</w:t>
      </w:r>
      <w:r>
        <w:rPr>
          <w:rFonts w:hint="eastAsia" w:ascii="Times New Roman" w:hAnsi="Times New Roman" w:eastAsia="仿宋_GB2312" w:cs="Times New Roman"/>
          <w:bCs/>
          <w:sz w:val="32"/>
          <w:szCs w:val="32"/>
          <w:lang w:val="en-US" w:eastAsia="zh-CN"/>
        </w:rPr>
        <w:t>110</w:t>
      </w:r>
      <w:r>
        <w:rPr>
          <w:rFonts w:hint="eastAsia" w:ascii="Times New Roman" w:hAnsi="Times New Roman" w:eastAsia="仿宋_GB2312" w:cs="Times New Roman"/>
          <w:bCs/>
          <w:sz w:val="32"/>
          <w:szCs w:val="32"/>
        </w:rPr>
        <w:t>亿元；到2030年，旅游综合收入达1</w:t>
      </w:r>
      <w:r>
        <w:rPr>
          <w:rFonts w:hint="eastAsia" w:ascii="Times New Roman" w:hAnsi="Times New Roman" w:eastAsia="仿宋_GB2312" w:cs="Times New Roman"/>
          <w:bCs/>
          <w:sz w:val="32"/>
          <w:szCs w:val="32"/>
          <w:lang w:val="en-US" w:eastAsia="zh-CN"/>
        </w:rPr>
        <w:t>8</w:t>
      </w:r>
      <w:r>
        <w:rPr>
          <w:rFonts w:hint="eastAsia" w:ascii="Times New Roman" w:hAnsi="Times New Roman" w:eastAsia="仿宋_GB2312" w:cs="Times New Roman"/>
          <w:bCs/>
          <w:sz w:val="32"/>
          <w:szCs w:val="32"/>
        </w:rPr>
        <w:t>0亿元。</w:t>
      </w:r>
    </w:p>
    <w:p>
      <w:pPr>
        <w:pStyle w:val="7"/>
        <w:rPr>
          <w:rFonts w:hint="eastAsia" w:ascii="Times New Roman" w:hAnsi="Times New Roman" w:eastAsia="仿宋_GB2312" w:cs="Times New Roman"/>
          <w:bCs/>
          <w:sz w:val="32"/>
          <w:szCs w:val="32"/>
        </w:rPr>
      </w:pPr>
    </w:p>
    <w:p>
      <w:pPr>
        <w:pStyle w:val="7"/>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drawing>
          <wp:anchor distT="0" distB="0" distL="114300" distR="114300" simplePos="0" relativeHeight="251661312" behindDoc="0" locked="0" layoutInCell="1" allowOverlap="1">
            <wp:simplePos x="0" y="0"/>
            <wp:positionH relativeFrom="column">
              <wp:posOffset>-83820</wp:posOffset>
            </wp:positionH>
            <wp:positionV relativeFrom="paragraph">
              <wp:posOffset>119380</wp:posOffset>
            </wp:positionV>
            <wp:extent cx="5400040" cy="3818255"/>
            <wp:effectExtent l="0" t="0" r="10160" b="10795"/>
            <wp:wrapNone/>
            <wp:docPr id="3" name="图片 3" descr="页面提取自－新平先行区规划图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页面提取自－新平先行区规划图_页面_3"/>
                    <pic:cNvPicPr>
                      <a:picLocks noChangeAspect="1"/>
                    </pic:cNvPicPr>
                  </pic:nvPicPr>
                  <pic:blipFill>
                    <a:blip r:embed="rId17"/>
                    <a:stretch>
                      <a:fillRect/>
                    </a:stretch>
                  </pic:blipFill>
                  <pic:spPr>
                    <a:xfrm>
                      <a:off x="0" y="0"/>
                      <a:ext cx="5400040" cy="3818255"/>
                    </a:xfrm>
                    <a:prstGeom prst="rect">
                      <a:avLst/>
                    </a:prstGeom>
                  </pic:spPr>
                </pic:pic>
              </a:graphicData>
            </a:graphic>
          </wp:anchor>
        </w:drawing>
      </w:r>
    </w:p>
    <w:p>
      <w:pPr>
        <w:pStyle w:val="9"/>
        <w:rPr>
          <w:rFonts w:hint="eastAsia" w:ascii="Times New Roman" w:hAnsi="Times New Roman" w:eastAsia="仿宋_GB2312" w:cs="Times New Roman"/>
          <w:bCs/>
          <w:sz w:val="32"/>
          <w:szCs w:val="32"/>
        </w:rPr>
      </w:pPr>
    </w:p>
    <w:p>
      <w:pPr>
        <w:rPr>
          <w:rFonts w:hint="eastAsia"/>
        </w:rPr>
      </w:pPr>
    </w:p>
    <w:p>
      <w:pPr>
        <w:pStyle w:val="7"/>
        <w:rPr>
          <w:rFonts w:hint="eastAsia" w:ascii="Times New Roman" w:hAnsi="Times New Roman" w:eastAsia="仿宋_GB2312" w:cs="Times New Roman"/>
          <w:bCs/>
          <w:sz w:val="32"/>
          <w:szCs w:val="32"/>
          <w:lang w:eastAsia="zh-CN"/>
        </w:rPr>
      </w:pPr>
    </w:p>
    <w:p>
      <w:pPr>
        <w:pStyle w:val="8"/>
        <w:rPr>
          <w:rFonts w:hint="eastAsia" w:ascii="Times New Roman" w:hAnsi="Times New Roman" w:eastAsia="仿宋_GB2312" w:cs="Times New Roman"/>
          <w:bCs/>
          <w:sz w:val="32"/>
          <w:szCs w:val="32"/>
        </w:rPr>
      </w:pPr>
    </w:p>
    <w:p>
      <w:pPr>
        <w:pStyle w:val="9"/>
        <w:rPr>
          <w:rFonts w:hint="eastAsia" w:ascii="Times New Roman" w:hAnsi="Times New Roman" w:eastAsia="仿宋_GB2312" w:cs="Times New Roman"/>
          <w:bCs/>
          <w:sz w:val="32"/>
          <w:szCs w:val="32"/>
        </w:rPr>
      </w:pPr>
    </w:p>
    <w:p>
      <w:pPr>
        <w:rPr>
          <w:rFonts w:hint="eastAsia" w:ascii="Times New Roman" w:hAnsi="Times New Roman" w:eastAsia="仿宋_GB2312" w:cs="Times New Roman"/>
          <w:bCs/>
          <w:sz w:val="32"/>
          <w:szCs w:val="32"/>
        </w:rPr>
      </w:pPr>
    </w:p>
    <w:p>
      <w:pPr>
        <w:pStyle w:val="7"/>
        <w:rPr>
          <w:rFonts w:hint="eastAsia" w:ascii="Times New Roman" w:hAnsi="Times New Roman" w:eastAsia="仿宋_GB2312" w:cs="Times New Roman"/>
          <w:bCs/>
          <w:sz w:val="32"/>
          <w:szCs w:val="32"/>
        </w:rPr>
      </w:pPr>
    </w:p>
    <w:p>
      <w:pPr>
        <w:pStyle w:val="8"/>
        <w:rPr>
          <w:rFonts w:hint="eastAsia" w:ascii="Times New Roman" w:hAnsi="Times New Roman" w:eastAsia="仿宋_GB2312" w:cs="Times New Roman"/>
          <w:bCs/>
          <w:sz w:val="32"/>
          <w:szCs w:val="32"/>
        </w:rPr>
      </w:pPr>
    </w:p>
    <w:p/>
    <w:p>
      <w:pPr>
        <w:keepNext w:val="0"/>
        <w:keepLines w:val="0"/>
        <w:pageBreakBefore w:val="0"/>
        <w:widowControl w:val="0"/>
        <w:tabs>
          <w:tab w:val="left" w:pos="2268"/>
        </w:tabs>
        <w:kinsoku/>
        <w:wordWrap/>
        <w:overflowPunct/>
        <w:topLinePunct w:val="0"/>
        <w:autoSpaceDE/>
        <w:autoSpaceDN/>
        <w:bidi w:val="0"/>
        <w:adjustRightInd w:val="0"/>
        <w:snapToGrid w:val="0"/>
        <w:spacing w:before="157" w:beforeLines="50" w:line="360" w:lineRule="auto"/>
        <w:jc w:val="center"/>
        <w:textAlignment w:val="auto"/>
        <w:outlineLvl w:val="1"/>
        <w:rPr>
          <w:rFonts w:hint="default" w:ascii="仿宋" w:hAnsi="仿宋" w:eastAsia="仿宋" w:cs="仿宋"/>
          <w:sz w:val="28"/>
          <w:szCs w:val="28"/>
          <w:lang w:val="en-US" w:eastAsia="zh-CN"/>
        </w:rPr>
      </w:pPr>
      <w:bookmarkStart w:id="39" w:name="_Toc644"/>
      <w:bookmarkStart w:id="40" w:name="_Toc30446"/>
      <w:bookmarkStart w:id="41" w:name="_Toc15310"/>
      <w:r>
        <w:rPr>
          <w:rFonts w:hint="eastAsia" w:ascii="仿宋" w:hAnsi="仿宋" w:eastAsia="仿宋" w:cs="仿宋"/>
          <w:sz w:val="28"/>
          <w:szCs w:val="28"/>
          <w:lang w:val="en-US" w:eastAsia="zh-CN"/>
        </w:rPr>
        <w:t>图2：旅游产品线路规划图</w:t>
      </w:r>
      <w:bookmarkEnd w:id="39"/>
      <w:bookmarkEnd w:id="40"/>
      <w:bookmarkEnd w:id="41"/>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jc w:val="center"/>
            </w:pPr>
            <w:r>
              <w:rPr>
                <w:rFonts w:hint="eastAsia" w:ascii="仿宋_GB2312" w:eastAsia="仿宋_GB2312" w:cs="仿宋_GB2312" w:hAnsiTheme="minorHAnsi"/>
                <w:b/>
                <w:bCs/>
                <w:color w:val="000000"/>
                <w:sz w:val="28"/>
                <w:szCs w:val="28"/>
              </w:rPr>
              <w:t>专栏3：旅游业发展指引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ind w:firstLine="482" w:firstLineChars="200"/>
              <w:rPr>
                <w:rFonts w:ascii="仿宋_GB2312" w:hAnsi="Tahoma" w:eastAsia="仿宋_GB2312" w:cs="仿宋_GB2312"/>
                <w:b/>
                <w:bCs/>
                <w:kern w:val="0"/>
                <w:sz w:val="24"/>
              </w:rPr>
            </w:pPr>
            <w:r>
              <w:rPr>
                <w:rFonts w:hint="eastAsia" w:ascii="仿宋_GB2312" w:hAnsi="Tahoma" w:eastAsia="仿宋_GB2312" w:cs="仿宋_GB2312"/>
                <w:b/>
                <w:bCs/>
                <w:kern w:val="0"/>
                <w:sz w:val="24"/>
              </w:rPr>
              <w:t>1.推动“一区四带”建设。</w:t>
            </w:r>
          </w:p>
          <w:p>
            <w:pPr>
              <w:ind w:firstLine="482" w:firstLineChars="20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（1）“一区”：</w:t>
            </w:r>
          </w:p>
          <w:p>
            <w:pPr>
              <w:ind w:firstLine="480" w:firstLineChars="200"/>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浮梁古城文化旅游区。在现有浮梁古县衙景区已建设历史文化长廊、茶文化一条街、哥德堡号雕塑、千年瓷坛、古城门楼、红塔、浮梁县署等景点基础上，进一步拓展为融瓷茶文化、衙署文化、民俗文化等为一体的综合文化旅游区。力争成为“5A”景区。</w:t>
            </w:r>
          </w:p>
          <w:p>
            <w:pPr>
              <w:ind w:firstLine="482" w:firstLineChars="200"/>
              <w:rPr>
                <w:rFonts w:ascii="仿宋" w:hAnsi="仿宋" w:eastAsia="仿宋"/>
                <w:b/>
                <w:bCs/>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（2）“四带”：</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小南河瓷源文化旅游带：</w:t>
            </w:r>
            <w:r>
              <w:rPr>
                <w:rFonts w:hint="eastAsia" w:ascii="仿宋" w:hAnsi="仿宋" w:eastAsia="仿宋"/>
                <w:color w:val="000000" w:themeColor="text1"/>
                <w:sz w:val="24"/>
                <w14:textFill>
                  <w14:solidFill>
                    <w14:schemeClr w14:val="tx1"/>
                  </w14:solidFill>
                </w14:textFill>
              </w:rPr>
              <w:t>从小南河源头至汇入南河处，全长约2</w:t>
            </w:r>
            <w:r>
              <w:rPr>
                <w:rFonts w:ascii="仿宋" w:hAnsi="仿宋" w:eastAsia="仿宋"/>
                <w:color w:val="000000" w:themeColor="text1"/>
                <w:sz w:val="24"/>
                <w14:textFill>
                  <w14:solidFill>
                    <w14:schemeClr w14:val="tx1"/>
                  </w14:solidFill>
                </w14:textFill>
              </w:rPr>
              <w:t>4</w:t>
            </w:r>
            <w:r>
              <w:rPr>
                <w:rFonts w:hint="eastAsia" w:ascii="仿宋" w:hAnsi="仿宋" w:eastAsia="仿宋"/>
                <w:color w:val="000000" w:themeColor="text1"/>
                <w:sz w:val="24"/>
                <w14:textFill>
                  <w14:solidFill>
                    <w14:schemeClr w14:val="tx1"/>
                  </w14:solidFill>
                </w14:textFill>
              </w:rPr>
              <w:t>公里，包括寿安镇鸿兴、宁厂、朱溪、柳溪、月山、灵珠等行政村，以及湘湖镇进坑行政村。重点展示南市街、进坑区域晚唐、两宋时期影青瓷生产贸易和市镇的历史。依托小南河流域、进坑村等优美的乡村自然景观和历史文化发展休闲农业和乡村旅游。</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南河陶大文创旅游带：</w:t>
            </w:r>
            <w:r>
              <w:rPr>
                <w:rFonts w:hint="eastAsia" w:ascii="仿宋" w:hAnsi="仿宋" w:eastAsia="仿宋"/>
                <w:color w:val="000000" w:themeColor="text1"/>
                <w:sz w:val="24"/>
                <w14:textFill>
                  <w14:solidFill>
                    <w14:schemeClr w14:val="tx1"/>
                  </w14:solidFill>
                </w14:textFill>
              </w:rPr>
              <w:t>从南河湘湖镇境内上游开始，到小南河汇入处，全长约</w:t>
            </w:r>
            <w:r>
              <w:rPr>
                <w:rFonts w:ascii="仿宋" w:hAnsi="仿宋" w:eastAsia="仿宋"/>
                <w:color w:val="000000" w:themeColor="text1"/>
                <w:sz w:val="24"/>
                <w14:textFill>
                  <w14:solidFill>
                    <w14:schemeClr w14:val="tx1"/>
                  </w14:solidFill>
                </w14:textFill>
              </w:rPr>
              <w:t>21</w:t>
            </w:r>
            <w:r>
              <w:rPr>
                <w:rFonts w:hint="eastAsia" w:ascii="仿宋" w:hAnsi="仿宋" w:eastAsia="仿宋"/>
                <w:color w:val="000000" w:themeColor="text1"/>
                <w:sz w:val="24"/>
                <w14:textFill>
                  <w14:solidFill>
                    <w14:schemeClr w14:val="tx1"/>
                  </w14:solidFill>
                </w14:textFill>
              </w:rPr>
              <w:t>公里，包括湘湖镇前程、北安、西安、兰田、陈家畈、湘湖、古田等行政村。有珠山东市、皇窑、陶大小镇、兰田古窑址、玉田湖湿地等片区，重点发展陶瓷科教文创、陶瓷文化产品展示、南河陶瓷历史展示、湖泊湿地度假康养和乡村旅游。</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东河特色农业乡村旅游带：</w:t>
            </w:r>
            <w:r>
              <w:rPr>
                <w:rFonts w:hint="eastAsia" w:ascii="仿宋" w:hAnsi="仿宋" w:eastAsia="仿宋"/>
                <w:color w:val="000000" w:themeColor="text1"/>
                <w:sz w:val="24"/>
                <w14:textFill>
                  <w14:solidFill>
                    <w14:schemeClr w14:val="tx1"/>
                  </w14:solidFill>
                </w14:textFill>
              </w:rPr>
              <w:t>从东河王港乡境内上游开始，到东河汇入昌江处，全长约1</w:t>
            </w:r>
            <w:r>
              <w:rPr>
                <w:rFonts w:ascii="仿宋" w:hAnsi="仿宋" w:eastAsia="仿宋"/>
                <w:color w:val="000000" w:themeColor="text1"/>
                <w:sz w:val="24"/>
                <w14:textFill>
                  <w14:solidFill>
                    <w14:schemeClr w14:val="tx1"/>
                  </w14:solidFill>
                </w14:textFill>
              </w:rPr>
              <w:t>7</w:t>
            </w:r>
            <w:r>
              <w:rPr>
                <w:rFonts w:hint="eastAsia" w:ascii="仿宋" w:hAnsi="仿宋" w:eastAsia="仿宋"/>
                <w:color w:val="000000" w:themeColor="text1"/>
                <w:sz w:val="24"/>
                <w14:textFill>
                  <w14:solidFill>
                    <w14:schemeClr w14:val="tx1"/>
                  </w14:solidFill>
                </w14:textFill>
              </w:rPr>
              <w:t>公里，包括王港乡墩口、渭水、河源、坑口、金山、港口、高沙、新平等行政村。依托景德镇——高岭－瑶里黄金旅游线，发展“一村一品”特色农业、乡村旅游和生态康养，发展杨家村油画谷等乡村文创区。</w:t>
            </w:r>
          </w:p>
          <w:p>
            <w:pPr>
              <w:ind w:firstLine="482" w:firstLineChars="200"/>
              <w:rPr>
                <w:rFonts w:ascii="仿宋" w:hAnsi="仿宋" w:eastAsia="仿宋"/>
                <w:color w:val="000000" w:themeColor="text1"/>
                <w:sz w:val="24"/>
                <w14:textFill>
                  <w14:solidFill>
                    <w14:schemeClr w14:val="tx1"/>
                  </w14:solidFill>
                </w14:textFill>
              </w:rPr>
            </w:pPr>
            <w:r>
              <w:rPr>
                <w:rFonts w:hint="eastAsia" w:ascii="仿宋" w:hAnsi="仿宋" w:eastAsia="仿宋"/>
                <w:b/>
                <w:bCs/>
                <w:color w:val="000000" w:themeColor="text1"/>
                <w:sz w:val="24"/>
                <w14:textFill>
                  <w14:solidFill>
                    <w14:schemeClr w14:val="tx1"/>
                  </w14:solidFill>
                </w14:textFill>
              </w:rPr>
              <w:t>昌江百里风光带先行区段：</w:t>
            </w:r>
            <w:r>
              <w:rPr>
                <w:rFonts w:hint="eastAsia" w:ascii="仿宋" w:hAnsi="仿宋" w:eastAsia="仿宋"/>
                <w:color w:val="000000" w:themeColor="text1"/>
                <w:sz w:val="24"/>
                <w14:textFill>
                  <w14:solidFill>
                    <w14:schemeClr w14:val="tx1"/>
                  </w14:solidFill>
                </w14:textFill>
              </w:rPr>
              <w:t>全长约1</w:t>
            </w:r>
            <w:r>
              <w:rPr>
                <w:rFonts w:ascii="仿宋" w:hAnsi="仿宋" w:eastAsia="仿宋"/>
                <w:color w:val="000000" w:themeColor="text1"/>
                <w:sz w:val="24"/>
                <w14:textFill>
                  <w14:solidFill>
                    <w14:schemeClr w14:val="tx1"/>
                  </w14:solidFill>
                </w14:textFill>
              </w:rPr>
              <w:t>8</w:t>
            </w:r>
            <w:r>
              <w:rPr>
                <w:rFonts w:hint="eastAsia" w:ascii="仿宋" w:hAnsi="仿宋" w:eastAsia="仿宋"/>
                <w:color w:val="000000" w:themeColor="text1"/>
                <w:sz w:val="24"/>
                <w14:textFill>
                  <w14:solidFill>
                    <w14:schemeClr w14:val="tx1"/>
                  </w14:solidFill>
                </w14:textFill>
              </w:rPr>
              <w:t>公里，依托昌江百里风光带整体规划建设，先行区段串联八九七厂、浮梁古县衙、浮梁县城等片区，重点展示昌江作为景德镇市母亲河的自然人文风貌，打造八九七厂至浮梁县城和景德镇市区的大气、开放、高品位的水陆休闲旅游和健身体验走廊。</w:t>
            </w:r>
          </w:p>
          <w:p>
            <w:pPr>
              <w:ind w:firstLine="482" w:firstLineChars="200"/>
              <w:rPr>
                <w:rFonts w:ascii="仿宋" w:hAnsi="仿宋" w:eastAsia="仿宋"/>
                <w:b/>
                <w:bCs/>
                <w:sz w:val="24"/>
              </w:rPr>
            </w:pPr>
            <w:r>
              <w:rPr>
                <w:rFonts w:hint="eastAsia" w:ascii="仿宋" w:hAnsi="仿宋" w:eastAsia="仿宋"/>
                <w:b/>
                <w:bCs/>
                <w:sz w:val="24"/>
              </w:rPr>
              <w:t>2.构建文旅产品体系</w:t>
            </w:r>
          </w:p>
          <w:p>
            <w:pPr>
              <w:ind w:firstLine="482" w:firstLineChars="200"/>
              <w:rPr>
                <w:rFonts w:ascii="仿宋" w:hAnsi="仿宋" w:eastAsia="仿宋"/>
                <w:b/>
                <w:bCs/>
                <w:sz w:val="24"/>
              </w:rPr>
            </w:pPr>
            <w:r>
              <w:rPr>
                <w:rFonts w:hint="eastAsia" w:ascii="仿宋" w:hAnsi="仿宋" w:eastAsia="仿宋"/>
                <w:b/>
                <w:bCs/>
                <w:sz w:val="24"/>
              </w:rPr>
              <w:t>（1）“瓷之源”陶瓷文化旅游产品：</w:t>
            </w:r>
          </w:p>
          <w:p>
            <w:pPr>
              <w:ind w:firstLine="482" w:firstLineChars="200"/>
              <w:rPr>
                <w:rFonts w:ascii="仿宋" w:hAnsi="仿宋" w:eastAsia="仿宋"/>
                <w:sz w:val="24"/>
              </w:rPr>
            </w:pPr>
            <w:r>
              <w:rPr>
                <w:rFonts w:hint="eastAsia" w:ascii="仿宋" w:hAnsi="仿宋" w:eastAsia="仿宋"/>
                <w:b/>
                <w:bCs/>
                <w:sz w:val="24"/>
              </w:rPr>
              <w:t>南市街景区：</w:t>
            </w:r>
            <w:r>
              <w:rPr>
                <w:rFonts w:hint="eastAsia" w:ascii="仿宋" w:hAnsi="仿宋" w:eastAsia="仿宋"/>
                <w:sz w:val="24"/>
              </w:rPr>
              <w:t>修复建设古窑址群、南市</w:t>
            </w:r>
            <w:r>
              <w:rPr>
                <w:rFonts w:hint="eastAsia" w:ascii="仿宋" w:hAnsi="仿宋" w:eastAsia="仿宋"/>
                <w:sz w:val="24"/>
                <w:lang w:eastAsia="zh-CN"/>
              </w:rPr>
              <w:t>街</w:t>
            </w:r>
            <w:r>
              <w:rPr>
                <w:rFonts w:hint="eastAsia" w:ascii="仿宋" w:hAnsi="仿宋" w:eastAsia="仿宋"/>
                <w:sz w:val="24"/>
              </w:rPr>
              <w:t>市（局部）、唐宋古窑博物馆、诸仙洞、小南河乡村景观等景点，与三宝瓷谷、进坑村等景区形成旅游环线，成为探寻景德镇唐五代、两宋时期陶瓷历史源头、体验小南河流域乡村人文自然的核心景区。</w:t>
            </w:r>
          </w:p>
          <w:p>
            <w:pPr>
              <w:ind w:firstLine="482" w:firstLineChars="200"/>
              <w:rPr>
                <w:rFonts w:ascii="仿宋" w:hAnsi="仿宋" w:eastAsia="仿宋"/>
                <w:sz w:val="24"/>
              </w:rPr>
            </w:pPr>
            <w:r>
              <w:rPr>
                <w:rFonts w:hint="eastAsia" w:ascii="仿宋" w:hAnsi="仿宋" w:eastAsia="仿宋"/>
                <w:b/>
                <w:bCs/>
                <w:sz w:val="24"/>
              </w:rPr>
              <w:t>进坑宋瓷文化村景区：</w:t>
            </w:r>
            <w:r>
              <w:rPr>
                <w:rFonts w:hint="eastAsia" w:ascii="仿宋" w:hAnsi="仿宋" w:eastAsia="仿宋"/>
                <w:sz w:val="24"/>
              </w:rPr>
              <w:t>修复建设宋瓷古窑址群、宋代陶瓷生产体验区、宋瓷博物馆、文创村落、乡村休闲度假等景点，与三宝瓷谷、南市街等景区形成旅游环线，打造成为景德镇市郊高品质的乡村文化自然景区。</w:t>
            </w:r>
          </w:p>
          <w:p>
            <w:pPr>
              <w:ind w:firstLine="482" w:firstLineChars="200"/>
              <w:rPr>
                <w:rFonts w:ascii="仿宋" w:hAnsi="仿宋" w:eastAsia="仿宋"/>
                <w:sz w:val="24"/>
              </w:rPr>
            </w:pPr>
            <w:r>
              <w:rPr>
                <w:rFonts w:hint="eastAsia" w:ascii="仿宋" w:hAnsi="仿宋" w:eastAsia="仿宋"/>
                <w:b/>
                <w:bCs/>
                <w:sz w:val="24"/>
              </w:rPr>
              <w:t>皇窑景区：</w:t>
            </w:r>
            <w:r>
              <w:rPr>
                <w:rFonts w:hint="eastAsia" w:ascii="仿宋" w:hAnsi="仿宋" w:eastAsia="仿宋"/>
                <w:sz w:val="24"/>
              </w:rPr>
              <w:t>全景再现、活态传承、真实演绎历代皇家御窑制瓷技艺为核心内容的陶瓷文化旅游景区，也是集“产、学、研、游、购、娱”为一体的文化创意产业园，是先行区现有两个4</w:t>
            </w:r>
            <w:r>
              <w:rPr>
                <w:rFonts w:ascii="仿宋" w:hAnsi="仿宋" w:eastAsia="仿宋"/>
                <w:sz w:val="24"/>
              </w:rPr>
              <w:t>A</w:t>
            </w:r>
            <w:r>
              <w:rPr>
                <w:rFonts w:hint="eastAsia" w:ascii="仿宋" w:hAnsi="仿宋" w:eastAsia="仿宋"/>
                <w:sz w:val="24"/>
              </w:rPr>
              <w:t>级景区之一。</w:t>
            </w:r>
          </w:p>
          <w:p>
            <w:pPr>
              <w:ind w:firstLine="482" w:firstLineChars="200"/>
              <w:rPr>
                <w:rFonts w:ascii="仿宋" w:hAnsi="仿宋" w:eastAsia="仿宋"/>
                <w:sz w:val="24"/>
              </w:rPr>
            </w:pPr>
            <w:r>
              <w:rPr>
                <w:rFonts w:hint="eastAsia" w:ascii="仿宋" w:hAnsi="仿宋" w:eastAsia="仿宋"/>
                <w:b/>
                <w:bCs/>
                <w:sz w:val="24"/>
              </w:rPr>
              <w:t>兰田唐代古窑址景区：</w:t>
            </w:r>
            <w:r>
              <w:rPr>
                <w:rFonts w:hint="eastAsia" w:ascii="仿宋" w:hAnsi="仿宋" w:eastAsia="仿宋"/>
                <w:sz w:val="24"/>
              </w:rPr>
              <w:t>浮梁地区目前考古发现始于唐代中晚期的最早的古窑址，融陶瓷历史探古、陶瓷文化体验、乡村旅游休闲于一体的陶瓷文化景区。</w:t>
            </w:r>
          </w:p>
          <w:p>
            <w:pPr>
              <w:ind w:firstLine="482" w:firstLineChars="200"/>
              <w:rPr>
                <w:rFonts w:ascii="仿宋" w:hAnsi="仿宋" w:eastAsia="仿宋"/>
                <w:b/>
                <w:bCs/>
                <w:sz w:val="24"/>
              </w:rPr>
            </w:pPr>
            <w:r>
              <w:rPr>
                <w:rFonts w:hint="eastAsia" w:ascii="仿宋" w:hAnsi="仿宋" w:eastAsia="仿宋"/>
                <w:b/>
                <w:bCs/>
                <w:sz w:val="24"/>
              </w:rPr>
              <w:t>（2）</w:t>
            </w:r>
            <w:r>
              <w:rPr>
                <w:rFonts w:hint="eastAsia" w:ascii="仿宋" w:hAnsi="仿宋" w:eastAsia="仿宋"/>
                <w:b/>
                <w:bCs/>
                <w:sz w:val="24"/>
                <w:lang w:val="en-US" w:eastAsia="zh-CN"/>
              </w:rPr>
              <w:t>城市</w:t>
            </w:r>
            <w:r>
              <w:rPr>
                <w:rFonts w:hint="eastAsia" w:ascii="仿宋" w:hAnsi="仿宋" w:eastAsia="仿宋"/>
                <w:b/>
                <w:bCs/>
                <w:sz w:val="24"/>
              </w:rPr>
              <w:t>文化旅游产品</w:t>
            </w:r>
          </w:p>
          <w:p>
            <w:pPr>
              <w:ind w:firstLine="482" w:firstLineChars="200"/>
              <w:rPr>
                <w:rFonts w:ascii="仿宋" w:hAnsi="仿宋" w:eastAsia="仿宋"/>
                <w:sz w:val="24"/>
              </w:rPr>
            </w:pPr>
            <w:r>
              <w:rPr>
                <w:rFonts w:hint="eastAsia" w:ascii="仿宋" w:hAnsi="仿宋" w:eastAsia="仿宋"/>
                <w:b/>
                <w:bCs/>
                <w:sz w:val="24"/>
              </w:rPr>
              <w:t>浮梁古县衙景区：</w:t>
            </w:r>
            <w:r>
              <w:rPr>
                <w:rFonts w:hint="eastAsia" w:ascii="仿宋" w:hAnsi="仿宋" w:eastAsia="仿宋"/>
                <w:sz w:val="24"/>
              </w:rPr>
              <w:t>有我国江南唯一保存最完整的五品级县衙、浮梁古代城徽——千年红塔，是探寻中国古代衙署文化为核心的城市历史景区，为先行区现有两个4</w:t>
            </w:r>
            <w:r>
              <w:rPr>
                <w:rFonts w:ascii="仿宋" w:hAnsi="仿宋" w:eastAsia="仿宋"/>
                <w:sz w:val="24"/>
              </w:rPr>
              <w:t>A</w:t>
            </w:r>
            <w:r>
              <w:rPr>
                <w:rFonts w:hint="eastAsia" w:ascii="仿宋" w:hAnsi="仿宋" w:eastAsia="仿宋"/>
                <w:sz w:val="24"/>
              </w:rPr>
              <w:t>级景区之一。</w:t>
            </w:r>
          </w:p>
          <w:p>
            <w:pPr>
              <w:ind w:firstLine="482" w:firstLineChars="200"/>
              <w:rPr>
                <w:rFonts w:ascii="仿宋" w:hAnsi="仿宋" w:eastAsia="仿宋"/>
                <w:sz w:val="24"/>
              </w:rPr>
            </w:pPr>
            <w:r>
              <w:rPr>
                <w:rFonts w:hint="eastAsia" w:ascii="仿宋" w:hAnsi="仿宋" w:eastAsia="仿宋"/>
                <w:b/>
                <w:bCs/>
                <w:sz w:val="24"/>
              </w:rPr>
              <w:t>浮梁古城文化旅游区：</w:t>
            </w:r>
            <w:r>
              <w:rPr>
                <w:rFonts w:hint="eastAsia" w:ascii="仿宋" w:hAnsi="仿宋" w:eastAsia="仿宋"/>
                <w:sz w:val="24"/>
              </w:rPr>
              <w:t>以“丝路源典，瓷茶古镇”为主题，集浮梁瓷茶文化、衙署文化、古村落文化、红色文化和民俗文化为一体的综合文化旅游景区，是展现景德镇城市历史源头的文化体验景区。景区建成后将把浮梁古县衙景区整合进来。</w:t>
            </w:r>
          </w:p>
          <w:p>
            <w:pPr>
              <w:ind w:firstLine="482" w:firstLineChars="200"/>
              <w:rPr>
                <w:rFonts w:ascii="仿宋" w:hAnsi="仿宋" w:eastAsia="仿宋"/>
                <w:b/>
                <w:bCs/>
                <w:sz w:val="24"/>
              </w:rPr>
            </w:pPr>
            <w:r>
              <w:rPr>
                <w:rFonts w:hint="eastAsia" w:ascii="仿宋" w:hAnsi="仿宋" w:eastAsia="仿宋"/>
                <w:b/>
                <w:bCs/>
                <w:sz w:val="24"/>
              </w:rPr>
              <w:t>陶瓷文创休闲旅游产品：</w:t>
            </w:r>
          </w:p>
          <w:p>
            <w:pPr>
              <w:ind w:firstLine="482" w:firstLineChars="200"/>
              <w:rPr>
                <w:rFonts w:ascii="仿宋" w:hAnsi="仿宋" w:eastAsia="仿宋"/>
                <w:sz w:val="24"/>
              </w:rPr>
            </w:pPr>
            <w:r>
              <w:rPr>
                <w:rFonts w:hint="eastAsia" w:ascii="仿宋" w:hAnsi="仿宋" w:eastAsia="仿宋"/>
                <w:b/>
                <w:bCs/>
                <w:sz w:val="24"/>
              </w:rPr>
              <w:t>陶大小镇景区：</w:t>
            </w:r>
            <w:r>
              <w:rPr>
                <w:rFonts w:hint="eastAsia" w:ascii="仿宋" w:hAnsi="仿宋" w:eastAsia="仿宋"/>
                <w:sz w:val="24"/>
              </w:rPr>
              <w:t>融陶瓷文化探寻、陶耕文化体验、陶瓷文创研学、配套休闲娱乐等于一体的休闲旅游景区。</w:t>
            </w:r>
          </w:p>
          <w:p>
            <w:pPr>
              <w:ind w:firstLine="482" w:firstLineChars="200"/>
              <w:rPr>
                <w:rFonts w:ascii="仿宋" w:hAnsi="仿宋" w:eastAsia="仿宋"/>
                <w:sz w:val="24"/>
              </w:rPr>
            </w:pPr>
            <w:r>
              <w:rPr>
                <w:rFonts w:hint="eastAsia" w:ascii="仿宋" w:hAnsi="仿宋" w:eastAsia="仿宋"/>
                <w:b/>
                <w:bCs/>
                <w:sz w:val="24"/>
              </w:rPr>
              <w:t>高校文创景区：</w:t>
            </w:r>
            <w:r>
              <w:rPr>
                <w:rFonts w:hint="eastAsia" w:ascii="仿宋" w:hAnsi="仿宋" w:eastAsia="仿宋"/>
                <w:sz w:val="24"/>
              </w:rPr>
              <w:t>融陶瓷文化猎奇、陶瓷商品购物、陶瓷文创体验、配套休闲娱乐等于一体的休闲旅游景区。</w:t>
            </w:r>
          </w:p>
          <w:p>
            <w:pPr>
              <w:ind w:firstLine="482" w:firstLineChars="200"/>
              <w:rPr>
                <w:rFonts w:ascii="仿宋" w:hAnsi="仿宋" w:eastAsia="仿宋"/>
                <w:sz w:val="24"/>
              </w:rPr>
            </w:pPr>
            <w:r>
              <w:rPr>
                <w:rFonts w:hint="eastAsia" w:ascii="仿宋" w:hAnsi="仿宋" w:eastAsia="仿宋"/>
                <w:b/>
                <w:bCs/>
                <w:sz w:val="24"/>
              </w:rPr>
              <w:t>盐仓里文创街区：</w:t>
            </w:r>
            <w:r>
              <w:rPr>
                <w:rFonts w:hint="eastAsia" w:ascii="仿宋" w:hAnsi="仿宋" w:eastAsia="仿宋"/>
                <w:sz w:val="24"/>
              </w:rPr>
              <w:t>融双创孵化基地、文创集市、文创休闲店铺、美食工坊、古戏台文化体验、将军府游览于一体的休闲旅游街区。</w:t>
            </w:r>
          </w:p>
          <w:p>
            <w:pPr>
              <w:ind w:firstLine="482" w:firstLineChars="200"/>
              <w:rPr>
                <w:rFonts w:ascii="仿宋" w:hAnsi="仿宋" w:eastAsia="仿宋"/>
                <w:b/>
                <w:bCs/>
                <w:sz w:val="24"/>
              </w:rPr>
            </w:pPr>
            <w:r>
              <w:rPr>
                <w:rFonts w:hint="eastAsia" w:ascii="仿宋" w:hAnsi="仿宋" w:eastAsia="仿宋"/>
                <w:b/>
                <w:bCs/>
                <w:sz w:val="24"/>
              </w:rPr>
              <w:t>（3）乡村旅游度假产品：</w:t>
            </w:r>
          </w:p>
          <w:p>
            <w:pPr>
              <w:ind w:firstLine="482" w:firstLineChars="200"/>
              <w:rPr>
                <w:rFonts w:ascii="仿宋" w:hAnsi="仿宋" w:eastAsia="仿宋"/>
                <w:sz w:val="24"/>
              </w:rPr>
            </w:pPr>
            <w:r>
              <w:rPr>
                <w:rFonts w:hint="eastAsia" w:ascii="仿宋" w:hAnsi="仿宋" w:eastAsia="仿宋"/>
                <w:b/>
                <w:bCs/>
                <w:sz w:val="24"/>
              </w:rPr>
              <w:t>玉田湖湿地景区：</w:t>
            </w:r>
            <w:r>
              <w:rPr>
                <w:rFonts w:hint="eastAsia" w:ascii="仿宋" w:hAnsi="仿宋" w:eastAsia="仿宋"/>
                <w:sz w:val="24"/>
              </w:rPr>
              <w:t>以玉田湖国家湿地公园为核心，融湿地观光、滨湖度假、乡村体验等为一体，适度发展乡村民宿和高端度假设施，成为景德镇市郊重要的乡村湖泊湿地旅游度假区。</w:t>
            </w:r>
          </w:p>
          <w:p>
            <w:pPr>
              <w:ind w:firstLine="482" w:firstLineChars="200"/>
              <w:rPr>
                <w:rFonts w:ascii="仿宋" w:hAnsi="仿宋" w:eastAsia="仿宋"/>
                <w:sz w:val="24"/>
              </w:rPr>
            </w:pPr>
            <w:r>
              <w:rPr>
                <w:rFonts w:hint="eastAsia" w:ascii="仿宋" w:hAnsi="仿宋" w:eastAsia="仿宋"/>
                <w:b/>
                <w:bCs/>
                <w:sz w:val="24"/>
              </w:rPr>
              <w:t>王港乡村旅游度假区：</w:t>
            </w:r>
            <w:r>
              <w:rPr>
                <w:rFonts w:hint="eastAsia" w:ascii="仿宋" w:hAnsi="仿宋" w:eastAsia="仿宋"/>
                <w:sz w:val="24"/>
              </w:rPr>
              <w:t>以王港乡“一村一品”特色农业和乡村旅游点为基础，继续拓展提升，串珠成链，积极发展乡村民宿和度假设施，形成特色鲜明的乡村旅游度假板块，成为景瑶旅游线上的重要一环。</w:t>
            </w:r>
          </w:p>
          <w:p>
            <w:pPr>
              <w:ind w:firstLine="482" w:firstLineChars="200"/>
              <w:rPr>
                <w:rFonts w:ascii="仿宋" w:hAnsi="仿宋" w:eastAsia="仿宋"/>
                <w:b/>
                <w:bCs/>
                <w:sz w:val="24"/>
              </w:rPr>
            </w:pPr>
            <w:r>
              <w:rPr>
                <w:rFonts w:hint="eastAsia" w:ascii="仿宋" w:hAnsi="仿宋" w:eastAsia="仿宋"/>
                <w:b/>
                <w:bCs/>
                <w:sz w:val="24"/>
              </w:rPr>
              <w:t>（4）城市休闲旅游产品：</w:t>
            </w:r>
          </w:p>
          <w:p>
            <w:pPr>
              <w:ind w:firstLine="482" w:firstLineChars="200"/>
              <w:rPr>
                <w:rFonts w:ascii="仿宋" w:hAnsi="仿宋" w:eastAsia="仿宋"/>
                <w:sz w:val="24"/>
              </w:rPr>
            </w:pPr>
            <w:r>
              <w:rPr>
                <w:rFonts w:hint="eastAsia" w:ascii="仿宋" w:hAnsi="仿宋" w:eastAsia="仿宋"/>
                <w:b/>
                <w:bCs/>
                <w:sz w:val="24"/>
              </w:rPr>
              <w:t>昌江百里风光带景区：</w:t>
            </w:r>
            <w:r>
              <w:rPr>
                <w:rFonts w:hint="eastAsia" w:ascii="仿宋" w:hAnsi="仿宋" w:eastAsia="仿宋"/>
                <w:sz w:val="24"/>
              </w:rPr>
              <w:t>挖掘特色主题，做精滨水风光，融入综合功能，打造昌江百里风光带的黄金水岸，成为游客和市民城市旅游休闲健身的绝佳处。</w:t>
            </w:r>
          </w:p>
          <w:p>
            <w:pPr>
              <w:ind w:firstLine="482" w:firstLineChars="200"/>
              <w:rPr>
                <w:rFonts w:ascii="仿宋" w:hAnsi="仿宋" w:eastAsia="仿宋"/>
                <w:sz w:val="24"/>
              </w:rPr>
            </w:pPr>
            <w:r>
              <w:rPr>
                <w:rFonts w:hint="eastAsia" w:ascii="仿宋" w:hAnsi="仿宋" w:eastAsia="仿宋"/>
                <w:b/>
                <w:bCs/>
                <w:sz w:val="24"/>
              </w:rPr>
              <w:t>三贤湖湿地公园：</w:t>
            </w:r>
            <w:r>
              <w:rPr>
                <w:rFonts w:hint="eastAsia" w:ascii="仿宋" w:hAnsi="仿宋" w:eastAsia="仿宋"/>
                <w:sz w:val="24"/>
              </w:rPr>
              <w:t>历史名人文化典故与地域特色文化相结合、现代园林景观与湿地保护水利调蓄兼顾的自然文化和生态教育景区。</w:t>
            </w:r>
          </w:p>
          <w:p>
            <w:pPr>
              <w:ind w:firstLine="482" w:firstLineChars="200"/>
              <w:rPr>
                <w:rFonts w:ascii="仿宋" w:hAnsi="仿宋" w:eastAsia="仿宋"/>
                <w:sz w:val="24"/>
              </w:rPr>
            </w:pPr>
            <w:r>
              <w:rPr>
                <w:rFonts w:hint="eastAsia" w:ascii="仿宋" w:hAnsi="仿宋" w:eastAsia="仿宋"/>
                <w:b/>
                <w:bCs/>
                <w:sz w:val="24"/>
              </w:rPr>
              <w:t>天湖里美食风情街：</w:t>
            </w:r>
            <w:r>
              <w:rPr>
                <w:rFonts w:hint="eastAsia" w:ascii="仿宋" w:hAnsi="仿宋" w:eastAsia="仿宋"/>
                <w:sz w:val="24"/>
              </w:rPr>
              <w:t>汇聚浮梁和赣东北地区特色美食和传统民俗，成为深度体验浮梁美食文化和休闲娱乐的夜游打卡地。</w:t>
            </w:r>
          </w:p>
          <w:p>
            <w:pPr>
              <w:ind w:firstLine="482" w:firstLineChars="200"/>
              <w:rPr>
                <w:rFonts w:ascii="仿宋" w:hAnsi="仿宋" w:eastAsia="仿宋"/>
                <w:sz w:val="24"/>
              </w:rPr>
            </w:pPr>
            <w:r>
              <w:rPr>
                <w:rFonts w:hint="eastAsia" w:ascii="仿宋" w:hAnsi="仿宋" w:eastAsia="仿宋"/>
                <w:b/>
                <w:bCs/>
                <w:sz w:val="24"/>
              </w:rPr>
              <w:t>珠山东市陶瓷文化博览城：</w:t>
            </w:r>
            <w:r>
              <w:rPr>
                <w:rFonts w:hint="eastAsia" w:ascii="仿宋" w:hAnsi="仿宋" w:eastAsia="仿宋"/>
                <w:sz w:val="24"/>
              </w:rPr>
              <w:t>集陶瓷创作演艺、文化博览、会议展览、学术研究、教育培训、交流拍卖等于一体的大型陶瓷商业休闲综合体。</w:t>
            </w:r>
          </w:p>
          <w:p>
            <w:pPr>
              <w:ind w:firstLine="482" w:firstLineChars="200"/>
              <w:rPr>
                <w:rFonts w:ascii="仿宋" w:hAnsi="仿宋" w:eastAsia="仿宋"/>
                <w:b/>
                <w:bCs/>
                <w:sz w:val="24"/>
              </w:rPr>
            </w:pPr>
            <w:r>
              <w:rPr>
                <w:rFonts w:hint="eastAsia" w:ascii="仿宋" w:hAnsi="仿宋" w:eastAsia="仿宋"/>
                <w:b/>
                <w:bCs/>
                <w:sz w:val="24"/>
              </w:rPr>
              <w:t>（5）产业融合旅游产品：</w:t>
            </w:r>
          </w:p>
          <w:p>
            <w:pPr>
              <w:ind w:firstLine="480" w:firstLineChars="200"/>
              <w:rPr>
                <w:rFonts w:ascii="仿宋" w:hAnsi="仿宋" w:eastAsia="仿宋"/>
                <w:sz w:val="24"/>
              </w:rPr>
            </w:pPr>
            <w:r>
              <w:rPr>
                <w:rFonts w:hint="eastAsia" w:ascii="仿宋" w:hAnsi="仿宋" w:eastAsia="仿宋"/>
                <w:sz w:val="24"/>
              </w:rPr>
              <w:t>积极支持旅游与文化、工业、农业、教育、医疗、康养、体育、商贸等产业融合发展，打造国家公共文化服务体系示范区、国家中医药旅游示范区、国家体育旅游示范基地等，强化可持续发展能力，提升旅游与其他产业的加乘效应。</w:t>
            </w:r>
          </w:p>
          <w:p>
            <w:pPr>
              <w:ind w:firstLine="482" w:firstLineChars="200"/>
              <w:rPr>
                <w:rFonts w:ascii="楷体" w:hAnsi="楷体" w:eastAsia="楷体"/>
                <w:b/>
                <w:bCs/>
                <w:sz w:val="24"/>
              </w:rPr>
            </w:pPr>
            <w:r>
              <w:rPr>
                <w:rFonts w:hint="eastAsia" w:ascii="楷体" w:hAnsi="楷体" w:eastAsia="楷体"/>
                <w:b/>
                <w:bCs/>
                <w:sz w:val="24"/>
              </w:rPr>
              <w:t>（6）旅游配套服务</w:t>
            </w:r>
          </w:p>
          <w:p>
            <w:pPr>
              <w:ind w:firstLine="482" w:firstLineChars="200"/>
              <w:rPr>
                <w:rFonts w:ascii="仿宋" w:hAnsi="仿宋" w:eastAsia="仿宋"/>
                <w:sz w:val="24"/>
              </w:rPr>
            </w:pPr>
            <w:r>
              <w:rPr>
                <w:rFonts w:hint="eastAsia" w:ascii="仿宋" w:hAnsi="仿宋" w:eastAsia="仿宋"/>
                <w:b/>
                <w:bCs/>
                <w:sz w:val="24"/>
              </w:rPr>
              <w:t>餐饮：</w:t>
            </w:r>
            <w:r>
              <w:rPr>
                <w:rFonts w:hint="eastAsia" w:ascii="仿宋" w:hAnsi="仿宋" w:eastAsia="仿宋"/>
                <w:sz w:val="24"/>
              </w:rPr>
              <w:t>以天湖里美食风情街为重点，打造传统美食风情体验区。在昌江百里风光带区域选址建设酒吧咖啡风情区，吸引“洋景漂”、境外游客等休闲体验。培育提升一批主题化、品牌化、连锁化的特色餐厅、咖啡厅、茶室等。</w:t>
            </w:r>
          </w:p>
          <w:p>
            <w:pPr>
              <w:ind w:firstLine="482" w:firstLineChars="200"/>
              <w:rPr>
                <w:rFonts w:ascii="仿宋" w:hAnsi="仿宋" w:eastAsia="仿宋"/>
                <w:sz w:val="24"/>
              </w:rPr>
            </w:pPr>
            <w:r>
              <w:rPr>
                <w:rFonts w:hint="eastAsia" w:ascii="仿宋" w:hAnsi="仿宋" w:eastAsia="仿宋"/>
                <w:b/>
                <w:bCs/>
                <w:sz w:val="24"/>
              </w:rPr>
              <w:t>住宿：</w:t>
            </w:r>
            <w:r>
              <w:rPr>
                <w:rFonts w:hint="eastAsia" w:ascii="仿宋" w:hAnsi="仿宋" w:eastAsia="仿宋"/>
                <w:sz w:val="24"/>
              </w:rPr>
              <w:t>着力培育中高档星级酒店或知名品牌酒店，到2</w:t>
            </w:r>
            <w:r>
              <w:rPr>
                <w:rFonts w:ascii="仿宋" w:hAnsi="仿宋" w:eastAsia="仿宋"/>
                <w:sz w:val="24"/>
              </w:rPr>
              <w:t>025</w:t>
            </w:r>
            <w:r>
              <w:rPr>
                <w:rFonts w:hint="eastAsia" w:ascii="仿宋" w:hAnsi="仿宋" w:eastAsia="仿宋"/>
                <w:sz w:val="24"/>
              </w:rPr>
              <w:t>年培育四星级以上或同档次知名品牌酒店2家以上。建设会议酒店、主题酒店、精品酒店、品牌快捷酒店、乡村民宿等不同等级、不同类型的住宿产品体系，提升国际化、专业化服务水准，优化先行区和浮梁县接待软硬环境。</w:t>
            </w:r>
          </w:p>
          <w:p>
            <w:pPr>
              <w:ind w:firstLine="482" w:firstLineChars="200"/>
              <w:rPr>
                <w:rFonts w:ascii="仿宋" w:hAnsi="仿宋" w:eastAsia="仿宋"/>
                <w:sz w:val="24"/>
              </w:rPr>
            </w:pPr>
            <w:r>
              <w:rPr>
                <w:rFonts w:hint="eastAsia" w:ascii="仿宋" w:hAnsi="仿宋" w:eastAsia="仿宋"/>
                <w:b/>
                <w:bCs/>
                <w:sz w:val="24"/>
              </w:rPr>
              <w:t>交通：</w:t>
            </w:r>
            <w:r>
              <w:rPr>
                <w:rFonts w:hint="eastAsia" w:ascii="仿宋" w:hAnsi="仿宋" w:eastAsia="仿宋"/>
                <w:sz w:val="24"/>
              </w:rPr>
              <w:t>完善提升通景公路、乡村旅游公路和旅游连接线的通达性和道路等级。完善景德镇机场、高铁站至热点景区的旅游班车，适时开通旅游专线公交、昌江水上游线和客运码头，建设连接城乡景区、自然文化空间的自行车道、休闲健身绿道系统，在南市街－进坑</w:t>
            </w:r>
            <w:r>
              <w:rPr>
                <w:rFonts w:hint="eastAsia" w:ascii="仿宋" w:hAnsi="仿宋" w:eastAsia="仿宋"/>
                <w:sz w:val="24"/>
                <w:lang w:eastAsia="zh-CN"/>
              </w:rPr>
              <w:t>－</w:t>
            </w:r>
            <w:r>
              <w:rPr>
                <w:rFonts w:hint="eastAsia" w:ascii="仿宋" w:hAnsi="仿宋" w:eastAsia="仿宋"/>
                <w:sz w:val="24"/>
              </w:rPr>
              <w:t>三宝瓷谷区域规划建设旅游观光火车，发展通用航空旅游线，完善旅游标志系统和停车场布局。</w:t>
            </w:r>
          </w:p>
          <w:p>
            <w:pPr>
              <w:ind w:firstLine="482" w:firstLineChars="200"/>
              <w:rPr>
                <w:rFonts w:ascii="仿宋" w:hAnsi="仿宋" w:eastAsia="仿宋"/>
                <w:sz w:val="24"/>
              </w:rPr>
            </w:pPr>
            <w:r>
              <w:rPr>
                <w:rFonts w:hint="eastAsia" w:ascii="仿宋" w:hAnsi="仿宋" w:eastAsia="仿宋"/>
                <w:b/>
                <w:bCs/>
                <w:sz w:val="24"/>
              </w:rPr>
              <w:t>购物：</w:t>
            </w:r>
            <w:r>
              <w:rPr>
                <w:rFonts w:hint="eastAsia" w:ascii="仿宋" w:hAnsi="仿宋" w:eastAsia="仿宋"/>
                <w:sz w:val="24"/>
              </w:rPr>
              <w:t>培育推出一批品质优良、包装精美、富有文化内涵的陶瓷类、手工艺类、农副产品类、纪念品类旅游商品，规划建设若干处旅游商品购物场所。</w:t>
            </w:r>
          </w:p>
          <w:p>
            <w:pPr>
              <w:ind w:firstLine="482" w:firstLineChars="200"/>
            </w:pPr>
            <w:r>
              <w:rPr>
                <w:rFonts w:hint="eastAsia" w:ascii="仿宋" w:hAnsi="仿宋" w:eastAsia="仿宋"/>
                <w:b/>
                <w:bCs/>
                <w:sz w:val="24"/>
              </w:rPr>
              <w:t>娱乐：</w:t>
            </w:r>
            <w:r>
              <w:rPr>
                <w:rFonts w:hint="eastAsia" w:ascii="仿宋" w:hAnsi="仿宋" w:eastAsia="仿宋"/>
                <w:sz w:val="24"/>
              </w:rPr>
              <w:t>持续提升《浮瑶印月》《水木浮梁•古衙夜集》《艺术在浮梁》等演艺节目和艺术活动的艺术魅力和影响力，打造演绎“瓷之源、镇之初、茶之乡”文化内涵的高质量品牌节目。完善电影院、剧院、音乐厅、图书馆等文娱场所的服务内容和质量。</w:t>
            </w:r>
          </w:p>
        </w:tc>
      </w:tr>
    </w:tbl>
    <w:p>
      <w:pPr>
        <w:spacing w:before="156" w:beforeLines="50" w:line="560" w:lineRule="exact"/>
        <w:ind w:firstLine="643" w:firstLineChars="200"/>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二、现代商贸</w:t>
      </w:r>
    </w:p>
    <w:bookmarkEnd w:id="2"/>
    <w:bookmarkEnd w:id="3"/>
    <w:bookmarkEnd w:id="4"/>
    <w:bookmarkEnd w:id="5"/>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围绕构建新发展格局，发挥商贸业作为国民经济基础性和先导性产业作用。通过转型传统商贸、发展新型业态、促进文商旅融合发展，构建TOD商业、电子商务、商品消费、餐饮文娱为主导的现代商贸业体系，打造区域性体验消费中心。到2025年，社会消费品零售总额达28亿元，</w:t>
      </w:r>
      <w:r>
        <w:rPr>
          <w:rFonts w:hint="eastAsia" w:ascii="Times New Roman" w:hAnsi="Times New Roman" w:eastAsia="仿宋_GB2312" w:cs="Times New Roman"/>
          <w:bCs/>
          <w:sz w:val="32"/>
          <w:szCs w:val="32"/>
          <w:lang w:val="en-US" w:eastAsia="zh-CN"/>
        </w:rPr>
        <w:t>到2030年达到40亿元，</w:t>
      </w:r>
      <w:r>
        <w:rPr>
          <w:rFonts w:hint="eastAsia" w:ascii="Times New Roman" w:hAnsi="Times New Roman" w:eastAsia="仿宋_GB2312" w:cs="Times New Roman"/>
          <w:bCs/>
          <w:sz w:val="32"/>
          <w:szCs w:val="32"/>
        </w:rPr>
        <w:t>年均增速</w:t>
      </w:r>
      <w:r>
        <w:rPr>
          <w:rFonts w:hint="eastAsia" w:ascii="Times New Roman" w:hAnsi="Times New Roman" w:eastAsia="仿宋_GB2312" w:cs="Times New Roman"/>
          <w:bCs/>
          <w:sz w:val="32"/>
          <w:szCs w:val="32"/>
          <w:lang w:val="en-US" w:eastAsia="zh-CN"/>
        </w:rPr>
        <w:t>7.5</w:t>
      </w:r>
      <w:r>
        <w:rPr>
          <w:rFonts w:hint="eastAsia" w:ascii="Times New Roman" w:hAnsi="Times New Roman" w:eastAsia="仿宋_GB2312" w:cs="Times New Roman"/>
          <w:bCs/>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jc w:val="center"/>
              <w:rPr>
                <w:rFonts w:ascii="仿宋" w:hAnsi="仿宋" w:eastAsia="仿宋"/>
                <w:b/>
                <w:bCs/>
                <w:sz w:val="32"/>
                <w:szCs w:val="32"/>
              </w:rPr>
            </w:pPr>
            <w:r>
              <w:rPr>
                <w:rFonts w:hint="eastAsia" w:ascii="仿宋_GB2312" w:eastAsia="仿宋_GB2312" w:cs="仿宋_GB2312" w:hAnsiTheme="minorHAnsi"/>
                <w:b/>
                <w:bCs/>
                <w:color w:val="000000"/>
                <w:sz w:val="28"/>
                <w:szCs w:val="28"/>
              </w:rPr>
              <w:t>专栏4：现代商贸发展指引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7"/>
              <w:rPr>
                <w:rFonts w:hint="default" w:ascii="仿宋" w:hAnsi="仿宋" w:eastAsia="仿宋"/>
                <w:kern w:val="2"/>
                <w:lang w:eastAsia="zh-CN" w:bidi="ar-SA"/>
              </w:rPr>
            </w:pPr>
            <w:r>
              <w:rPr>
                <w:rFonts w:ascii="仿宋" w:hAnsi="仿宋" w:eastAsia="仿宋"/>
                <w:b/>
                <w:bCs/>
                <w:kern w:val="2"/>
                <w:lang w:eastAsia="zh-CN" w:bidi="ar-SA"/>
              </w:rPr>
              <w:t>1.TOD商业。</w:t>
            </w:r>
            <w:r>
              <w:rPr>
                <w:rFonts w:ascii="仿宋" w:hAnsi="仿宋" w:eastAsia="仿宋"/>
                <w:kern w:val="2"/>
                <w:lang w:eastAsia="zh-CN" w:bidi="ar-SA"/>
              </w:rPr>
              <w:t>按照“1+4+N”县域商业网点空间布局，积极推进浮梁商务区建设，成为都市圈级商业中心；加快推动湘湖镇、王港乡、寿安镇商业中心区建设，成为区域商业综合中心；启动一批特色商业示范区、镇街商业示范区、文旅示范区、智慧商业示范区等示范项目，促进商业服务业的提质升级。</w:t>
            </w:r>
          </w:p>
          <w:p>
            <w:pPr>
              <w:pStyle w:val="7"/>
              <w:rPr>
                <w:rFonts w:hint="default" w:ascii="仿宋" w:hAnsi="仿宋" w:eastAsia="仿宋"/>
                <w:kern w:val="2"/>
                <w:lang w:eastAsia="zh-CN" w:bidi="ar-SA"/>
              </w:rPr>
            </w:pPr>
            <w:r>
              <w:rPr>
                <w:rFonts w:ascii="仿宋" w:hAnsi="仿宋" w:eastAsia="仿宋"/>
                <w:b/>
                <w:bCs/>
                <w:kern w:val="2"/>
                <w:lang w:eastAsia="zh-CN" w:bidi="ar-SA"/>
              </w:rPr>
              <w:t>2.电子商务。</w:t>
            </w:r>
            <w:r>
              <w:rPr>
                <w:rFonts w:ascii="仿宋" w:hAnsi="仿宋" w:eastAsia="仿宋"/>
                <w:kern w:val="2"/>
                <w:lang w:eastAsia="zh-CN" w:bidi="ar-SA"/>
              </w:rPr>
              <w:t>积极推动“互联网＋”行动计划，支持各行业、领域利用电子商务优化采购、分销体系，积极发展网红购、直播带货、社交媒体，联合打造社交型购物等电子商务新模式。创新发展跨境电商，积极利用景德镇国家陶瓷文化传承创新试验区等各类资源，布局跨境电商O2O 平台、专业垂直电商平台等。提升传统商贸业，大力扶持有意愿有实力的传统商贸企业构建电子商务新生态，实现现货交易与电子交易结合。</w:t>
            </w:r>
          </w:p>
          <w:p>
            <w:pPr>
              <w:pStyle w:val="7"/>
              <w:rPr>
                <w:rFonts w:hint="default" w:ascii="仿宋" w:hAnsi="仿宋" w:eastAsia="仿宋"/>
                <w:kern w:val="2"/>
                <w:lang w:eastAsia="zh-CN" w:bidi="ar-SA"/>
              </w:rPr>
            </w:pPr>
            <w:r>
              <w:rPr>
                <w:rFonts w:ascii="仿宋" w:hAnsi="仿宋" w:eastAsia="仿宋"/>
                <w:b/>
                <w:bCs/>
                <w:kern w:val="2"/>
                <w:lang w:eastAsia="zh-CN" w:bidi="ar-SA"/>
              </w:rPr>
              <w:t>3.商品消费。</w:t>
            </w:r>
            <w:r>
              <w:rPr>
                <w:rFonts w:ascii="仿宋" w:hAnsi="仿宋" w:eastAsia="仿宋"/>
                <w:kern w:val="2"/>
                <w:lang w:eastAsia="zh-CN" w:bidi="ar-SA"/>
              </w:rPr>
              <w:t>建立政府主导制定与市场主体自主制定协同发展的标准体系提升商贸供给品质，促进浮梁县茶叶等重点商品消费。扩大服务消费供给，创新“互联网+社会服务”消费模式，做大“数字消费”，深入实施数字生活新服务行动。构建企业自治、行业自律、社会监督和政府监管相结合的消费共同治理机制以达优化商贸消费环境。</w:t>
            </w:r>
          </w:p>
          <w:p>
            <w:pPr>
              <w:pStyle w:val="7"/>
              <w:rPr>
                <w:rFonts w:hint="default" w:ascii="仿宋" w:hAnsi="仿宋" w:eastAsia="仿宋"/>
                <w:b/>
                <w:bCs/>
                <w:kern w:val="2"/>
                <w:lang w:eastAsia="zh-CN" w:bidi="ar-SA"/>
              </w:rPr>
            </w:pPr>
            <w:r>
              <w:rPr>
                <w:rFonts w:ascii="仿宋" w:hAnsi="仿宋" w:eastAsia="仿宋"/>
                <w:b/>
                <w:bCs/>
                <w:kern w:val="2"/>
                <w:lang w:eastAsia="zh-CN" w:bidi="ar-SA"/>
              </w:rPr>
              <w:t>4.餐饮文娱。</w:t>
            </w:r>
            <w:r>
              <w:rPr>
                <w:rFonts w:ascii="仿宋" w:hAnsi="仿宋" w:eastAsia="仿宋"/>
                <w:kern w:val="2"/>
                <w:lang w:eastAsia="zh-CN" w:bidi="ar-SA"/>
              </w:rPr>
              <w:t>鼓励运用大数据、云计算、移动互联网等现代信息技术，加快“商、旅、文、体、会”等产业联动发展、跨界融合，形成更多流通新平台、新业态，培育定制消费、智能消费、信息消费、时尚消费等商业新模式。</w:t>
            </w:r>
          </w:p>
        </w:tc>
      </w:tr>
    </w:tbl>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三、现代金融业</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金融供给侧结构改革为动力，坚持服务实体经济、数字化赋能融资、守牢县域金融风险底线，奋力推进产业金融、普惠金融、科技金融、绿色金融协同发展、创新发展，构建实体经济和金融良性循环、互促共进的新格局。到2025年，金融业增加值超过</w:t>
      </w: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sz w:val="32"/>
          <w:szCs w:val="32"/>
        </w:rPr>
        <w:t>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w:t>
      </w:r>
      <w:r>
        <w:rPr>
          <w:rFonts w:hint="eastAsia" w:ascii="Times New Roman" w:hAnsi="Times New Roman" w:eastAsia="仿宋_GB2312" w:cs="Times New Roman"/>
          <w:bCs/>
          <w:sz w:val="32"/>
          <w:szCs w:val="32"/>
        </w:rPr>
        <w:t>金融业增加值超过</w:t>
      </w:r>
      <w:r>
        <w:rPr>
          <w:rFonts w:hint="eastAsia" w:ascii="Times New Roman" w:hAnsi="Times New Roman" w:eastAsia="仿宋_GB2312" w:cs="Times New Roman"/>
          <w:bCs/>
          <w:sz w:val="32"/>
          <w:szCs w:val="32"/>
          <w:lang w:val="en-US" w:eastAsia="zh-CN"/>
        </w:rPr>
        <w:t>6.5</w:t>
      </w:r>
      <w:r>
        <w:rPr>
          <w:rFonts w:hint="eastAsia" w:ascii="Times New Roman" w:hAnsi="Times New Roman" w:eastAsia="仿宋_GB2312" w:cs="Times New Roman"/>
          <w:bCs/>
          <w:sz w:val="32"/>
          <w:szCs w:val="32"/>
        </w:rPr>
        <w:t>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年均增速10%</w:t>
      </w:r>
      <w:r>
        <w:rPr>
          <w:rFonts w:hint="eastAsia" w:ascii="Times New Roman" w:hAnsi="Times New Roman" w:eastAsia="仿宋_GB2312" w:cs="Times New Roman"/>
          <w:bCs/>
          <w:sz w:val="32"/>
          <w:szCs w:val="32"/>
          <w:lang w:val="en-US" w:eastAsia="zh-CN"/>
        </w:rPr>
        <w:t>左右</w:t>
      </w:r>
      <w:r>
        <w:rPr>
          <w:rFonts w:hint="eastAsia" w:ascii="Times New Roman" w:hAnsi="Times New Roman" w:eastAsia="仿宋_GB2312" w:cs="Times New Roman"/>
          <w:bCs/>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jc w:val="center"/>
            </w:pPr>
            <w:r>
              <w:rPr>
                <w:rFonts w:hint="eastAsia" w:ascii="仿宋_GB2312" w:eastAsia="仿宋_GB2312" w:cs="仿宋_GB2312" w:hAnsiTheme="minorHAnsi"/>
                <w:b/>
                <w:bCs/>
                <w:color w:val="000000"/>
                <w:sz w:val="28"/>
                <w:szCs w:val="28"/>
              </w:rPr>
              <w:t>专栏5：现代金融业发展指引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trPr>
        <w:tc>
          <w:tcPr>
            <w:tcW w:w="8522" w:type="dxa"/>
          </w:tcPr>
          <w:p>
            <w:pPr>
              <w:pStyle w:val="7"/>
              <w:rPr>
                <w:rFonts w:hint="default" w:ascii="仿宋" w:hAnsi="仿宋" w:eastAsia="仿宋"/>
                <w:kern w:val="2"/>
                <w:lang w:val="en-US" w:eastAsia="zh-CN" w:bidi="ar-SA"/>
              </w:rPr>
            </w:pPr>
            <w:r>
              <w:rPr>
                <w:rFonts w:ascii="仿宋" w:hAnsi="仿宋" w:eastAsia="仿宋"/>
                <w:b/>
                <w:bCs/>
                <w:kern w:val="2"/>
                <w:lang w:eastAsia="zh-CN" w:bidi="ar-SA"/>
              </w:rPr>
              <w:t>1.产业金融。</w:t>
            </w:r>
            <w:r>
              <w:rPr>
                <w:rFonts w:ascii="仿宋" w:hAnsi="仿宋" w:eastAsia="仿宋"/>
                <w:kern w:val="2"/>
                <w:lang w:eastAsia="zh-CN" w:bidi="ar-SA"/>
              </w:rPr>
              <w:t>发挥金融对产业基础提升和产业链集聚的战略性支撑作用</w:t>
            </w:r>
            <w:r>
              <w:rPr>
                <w:rFonts w:hint="eastAsia" w:ascii="仿宋" w:hAnsi="仿宋" w:eastAsia="仿宋"/>
                <w:kern w:val="2"/>
                <w:lang w:eastAsia="zh-CN" w:bidi="ar-SA"/>
              </w:rPr>
              <w:t>，</w:t>
            </w:r>
            <w:r>
              <w:rPr>
                <w:rFonts w:hint="eastAsia" w:ascii="仿宋" w:hAnsi="仿宋" w:eastAsia="仿宋"/>
                <w:kern w:val="2"/>
                <w:lang w:val="en-US" w:eastAsia="zh-CN" w:bidi="ar-SA"/>
              </w:rPr>
              <w:t>通过设立产业金融的方式，搭建中央、省、市产业资本下沉渠道，充分发挥资本、产业和人才的资源优势，推动先进陶瓷材料等领域高质量跨越式发展。</w:t>
            </w:r>
          </w:p>
          <w:p>
            <w:pPr>
              <w:pStyle w:val="7"/>
              <w:rPr>
                <w:rFonts w:hint="default" w:ascii="仿宋" w:hAnsi="仿宋" w:eastAsia="仿宋"/>
                <w:kern w:val="2"/>
                <w:lang w:eastAsia="zh-CN" w:bidi="ar-SA"/>
              </w:rPr>
            </w:pPr>
            <w:r>
              <w:rPr>
                <w:rFonts w:ascii="仿宋" w:hAnsi="仿宋" w:eastAsia="仿宋"/>
                <w:b/>
                <w:bCs/>
                <w:kern w:val="2"/>
                <w:lang w:eastAsia="zh-CN" w:bidi="ar-SA"/>
              </w:rPr>
              <w:t>2.普惠金融。</w:t>
            </w:r>
            <w:r>
              <w:rPr>
                <w:rFonts w:ascii="仿宋" w:hAnsi="仿宋" w:eastAsia="仿宋"/>
                <w:kern w:val="2"/>
                <w:lang w:eastAsia="zh-CN" w:bidi="ar-SA"/>
              </w:rPr>
              <w:t>积极响应小微企业壮大、产业发展、老百姓美好生活的需求，建立健全支持金融机构敢贷、愿贷、能贷的激励约束机制，大力创新小微金融、农村金融服务路径，提高金融资源可及性和覆盖面。</w:t>
            </w:r>
          </w:p>
          <w:p>
            <w:pPr>
              <w:pStyle w:val="7"/>
              <w:rPr>
                <w:rFonts w:hint="default" w:ascii="仿宋" w:hAnsi="仿宋" w:eastAsia="仿宋"/>
                <w:kern w:val="2"/>
                <w:lang w:eastAsia="zh-CN" w:bidi="ar-SA"/>
              </w:rPr>
            </w:pPr>
            <w:r>
              <w:rPr>
                <w:rFonts w:ascii="仿宋" w:hAnsi="仿宋" w:eastAsia="仿宋"/>
                <w:b/>
                <w:bCs/>
                <w:kern w:val="2"/>
                <w:lang w:eastAsia="zh-CN" w:bidi="ar-SA"/>
              </w:rPr>
              <w:t>3.科技金融。</w:t>
            </w:r>
            <w:r>
              <w:rPr>
                <w:rFonts w:ascii="仿宋" w:hAnsi="仿宋" w:eastAsia="仿宋"/>
                <w:kern w:val="2"/>
                <w:lang w:eastAsia="zh-CN" w:bidi="ar-SA"/>
              </w:rPr>
              <w:t>加强对产业创新、技术创新和高端人才的金融支持，集聚科技银行、股权投资机构、保险机构等服务组织，推动金融产品技术、服务方式、机制制度与新产业新业态新模式相适应。</w:t>
            </w:r>
          </w:p>
          <w:p>
            <w:pPr>
              <w:pStyle w:val="7"/>
              <w:rPr>
                <w:rFonts w:hint="default"/>
                <w:lang w:eastAsia="zh-CN"/>
              </w:rPr>
            </w:pPr>
            <w:r>
              <w:rPr>
                <w:rFonts w:ascii="仿宋" w:hAnsi="仿宋" w:eastAsia="仿宋"/>
                <w:b/>
                <w:bCs/>
                <w:kern w:val="2"/>
                <w:lang w:eastAsia="zh-CN" w:bidi="ar-SA"/>
              </w:rPr>
              <w:t>4.绿色金融。</w:t>
            </w:r>
            <w:r>
              <w:rPr>
                <w:rFonts w:ascii="仿宋" w:hAnsi="仿宋" w:eastAsia="仿宋"/>
                <w:kern w:val="2"/>
                <w:lang w:eastAsia="zh-CN" w:bidi="ar-SA"/>
              </w:rPr>
              <w:t>积极推动“生态+金融”融合，推动金融资源向夜游经济、文体旅产业、康养度假、现代农业等领域倾斜</w:t>
            </w:r>
            <w:r>
              <w:rPr>
                <w:rFonts w:hint="eastAsia" w:ascii="仿宋" w:hAnsi="仿宋" w:eastAsia="仿宋"/>
                <w:kern w:val="2"/>
                <w:lang w:eastAsia="zh-CN" w:bidi="ar-SA"/>
              </w:rPr>
              <w:t>，</w:t>
            </w:r>
            <w:r>
              <w:rPr>
                <w:rFonts w:ascii="仿宋" w:hAnsi="仿宋" w:eastAsia="仿宋"/>
                <w:kern w:val="2"/>
                <w:lang w:eastAsia="zh-CN" w:bidi="ar-SA"/>
              </w:rPr>
              <w:t>落实碳达峰、碳中和的要求，畅通金融支持“两山”转化，创新绿色金融服务工具、方式和模式。</w:t>
            </w:r>
          </w:p>
        </w:tc>
      </w:tr>
    </w:tbl>
    <w:p>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四、房地产业</w:t>
      </w:r>
    </w:p>
    <w:p>
      <w:pPr>
        <w:spacing w:line="560" w:lineRule="exact"/>
        <w:ind w:firstLine="640"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rPr>
        <w:t>坚持“房子是用来住的，不是用来炒的”定位，全面落实分类调控，因地施策，稳地价、稳房价、稳预期的调控机制。加快建立多主体供给、多渠道保障、租购并举的住房制度。</w:t>
      </w:r>
      <w:r>
        <w:rPr>
          <w:rFonts w:hint="eastAsia" w:ascii="Times New Roman" w:hAnsi="Times New Roman" w:eastAsia="仿宋_GB2312" w:cs="Times New Roman"/>
          <w:bCs/>
          <w:sz w:val="32"/>
          <w:szCs w:val="32"/>
          <w:lang w:val="en-US" w:eastAsia="zh-CN"/>
        </w:rPr>
        <w:t>到2030年，力争完成农村危房改造、城中村和旧城改造、棚户区改造，建成一批复合地产，房屋中介、物业等领域服务水平显著改善。</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522" w:type="dxa"/>
          </w:tcPr>
          <w:p>
            <w:pPr>
              <w:pStyle w:val="5"/>
              <w:jc w:val="center"/>
              <w:rPr>
                <w:rStyle w:val="22"/>
                <w:rFonts w:ascii="仿宋" w:hAnsi="仿宋" w:eastAsia="仿宋" w:cs="仿宋"/>
                <w:b/>
                <w:bCs/>
                <w:sz w:val="32"/>
                <w:szCs w:val="32"/>
              </w:rPr>
            </w:pPr>
            <w:r>
              <w:rPr>
                <w:rFonts w:hint="eastAsia" w:ascii="仿宋_GB2312" w:eastAsia="仿宋_GB2312" w:cs="仿宋_GB2312" w:hAnsiTheme="minorHAnsi"/>
                <w:b/>
                <w:bCs/>
                <w:color w:val="000000"/>
                <w:sz w:val="28"/>
                <w:szCs w:val="28"/>
              </w:rPr>
              <w:t>专栏6：房地产业发展指引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ind w:firstLine="643"/>
              <w:rPr>
                <w:rStyle w:val="22"/>
                <w:rFonts w:ascii="仿宋" w:hAnsi="仿宋" w:eastAsia="仿宋" w:cs="仿宋"/>
                <w:sz w:val="24"/>
              </w:rPr>
            </w:pPr>
            <w:r>
              <w:rPr>
                <w:rStyle w:val="22"/>
                <w:rFonts w:hint="eastAsia" w:ascii="仿宋" w:hAnsi="仿宋" w:eastAsia="仿宋" w:cs="仿宋"/>
                <w:b/>
                <w:bCs/>
                <w:sz w:val="24"/>
              </w:rPr>
              <w:t>1.住房供应体系。</w:t>
            </w:r>
            <w:r>
              <w:rPr>
                <w:rStyle w:val="22"/>
                <w:rFonts w:hint="eastAsia" w:ascii="仿宋" w:hAnsi="仿宋" w:eastAsia="仿宋" w:cs="仿宋"/>
                <w:sz w:val="24"/>
              </w:rPr>
              <w:t>以公租房、棚户房保障为主体，政策性住房保障为重点，积极探索政策性租赁住房体系和运行机制。坚持“保障适度、突出重点、创新方式、强化管理”的原则，实行主动保障，对城镇低保、低保住房困难家庭应保尽保。实行扩面保障，放开户籍限制、降低准入门槛，做好新就业大学生和稳定就业的外来务工人员等新市民住房保障。深入推进政府购买公租房运营管理服务，探索推进住房保障领域诚信信用体系建设，全面提升住房保障管理服务水平。加快推进农村危房改造、城中村和旧城改造、棚户区改造工程，保证稳步推进棚户房建设。继续对符合条件而未纳入实物保障的对象实行补贴，做到应保尽保。</w:t>
            </w:r>
          </w:p>
          <w:p>
            <w:pPr>
              <w:snapToGrid w:val="0"/>
              <w:ind w:firstLine="643"/>
              <w:rPr>
                <w:rStyle w:val="22"/>
                <w:rFonts w:ascii="仿宋" w:hAnsi="仿宋" w:eastAsia="仿宋" w:cs="仿宋"/>
                <w:sz w:val="24"/>
              </w:rPr>
            </w:pPr>
            <w:r>
              <w:rPr>
                <w:rStyle w:val="22"/>
                <w:rFonts w:hint="eastAsia" w:ascii="仿宋" w:hAnsi="仿宋" w:eastAsia="仿宋" w:cs="仿宋"/>
                <w:b/>
                <w:bCs/>
                <w:sz w:val="24"/>
              </w:rPr>
              <w:t>2.复合地产。</w:t>
            </w:r>
            <w:r>
              <w:rPr>
                <w:rStyle w:val="22"/>
                <w:rFonts w:hint="eastAsia" w:ascii="仿宋" w:hAnsi="仿宋" w:eastAsia="仿宋" w:cs="仿宋"/>
                <w:sz w:val="24"/>
              </w:rPr>
              <w:t>鼓励房地产企业与专业医疗机构合作，发展以医疗服务、休闲健身、养生养老等产业为核心的健康养老地产；依法依规适度发展主题公园、休闲度假区、产权酒店等多种旅游房地产项目，培育发展休闲旅游地产；建设公益性低租金孵化园，构建一批有特色、低成本、便利化的创客空间，培育发展创新创业地产；鼓励企业利用已建成或在建的非居住建筑，依托高等院校、历史文化街区、公共文化设施、体育场馆和训练基地，开发建设文化创意地产。</w:t>
            </w:r>
          </w:p>
          <w:p>
            <w:pPr>
              <w:pStyle w:val="7"/>
              <w:rPr>
                <w:rStyle w:val="22"/>
                <w:rFonts w:hint="default" w:ascii="仿宋" w:hAnsi="仿宋" w:eastAsia="仿宋" w:cs="仿宋"/>
                <w:b/>
                <w:bCs/>
                <w:sz w:val="32"/>
                <w:szCs w:val="32"/>
                <w:lang w:eastAsia="zh-CN"/>
              </w:rPr>
            </w:pPr>
            <w:r>
              <w:rPr>
                <w:rStyle w:val="22"/>
                <w:rFonts w:ascii="仿宋" w:hAnsi="仿宋" w:eastAsia="仿宋" w:cs="仿宋"/>
                <w:b/>
                <w:bCs/>
                <w:lang w:eastAsia="zh-CN"/>
              </w:rPr>
              <w:t>3.房产中介和物业。</w:t>
            </w:r>
            <w:r>
              <w:rPr>
                <w:rStyle w:val="22"/>
                <w:rFonts w:ascii="仿宋" w:hAnsi="仿宋" w:eastAsia="仿宋" w:cs="仿宋"/>
                <w:lang w:eastAsia="zh-CN"/>
              </w:rPr>
              <w:t>依法规范、稳定发展房地产中介市场，加强房地产中介服务管理，维护房地产市场秩序，保障房地产活动当事人的合法权益。完善物业管理服务机制，健全物业管理服务体系，进一步扩大物业管理覆盖面，提升物业管理规范化、制度化、智慧化水平。落实各项扶持政策，着力解决物业管理领域的突出问题，全面提升居住服务品质。</w:t>
            </w:r>
          </w:p>
        </w:tc>
      </w:tr>
    </w:tbl>
    <w:p>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五、文化产业</w:t>
      </w:r>
    </w:p>
    <w:p>
      <w:pPr>
        <w:spacing w:line="560" w:lineRule="exact"/>
        <w:ind w:firstLine="640"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rPr>
        <w:t>深入实施“文化+”发展战略，以提升文化发展水平为着力点、创新文化发展为路径、优化文化产品供给为支撑，提升文化产业化、规模化、集约化水平，在“文化浮梁”建设中起到领军作用。到2025年，基本形成具有先行区特色的文化服务供给体系</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到2030年，文化服务供给水平显著提高，文化产业体系基本形成。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jc w:val="center"/>
              <w:rPr>
                <w:rFonts w:ascii="仿宋_GB2312" w:eastAsia="仿宋_GB2312" w:cs="仿宋_GB2312" w:hAnsiTheme="minorHAnsi"/>
                <w:b/>
                <w:bCs/>
                <w:color w:val="000000"/>
                <w:sz w:val="28"/>
                <w:szCs w:val="28"/>
              </w:rPr>
            </w:pPr>
            <w:r>
              <w:rPr>
                <w:rFonts w:hint="eastAsia" w:ascii="仿宋_GB2312" w:eastAsia="仿宋_GB2312" w:cs="仿宋_GB2312" w:hAnsiTheme="minorHAnsi"/>
                <w:b/>
                <w:bCs/>
                <w:color w:val="000000"/>
                <w:sz w:val="28"/>
                <w:szCs w:val="28"/>
              </w:rPr>
              <w:t>专栏7：文化产业发展指引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widowControl/>
              <w:snapToGrid w:val="0"/>
              <w:ind w:firstLine="641"/>
              <w:textAlignment w:val="baseline"/>
              <w:rPr>
                <w:rStyle w:val="22"/>
                <w:rFonts w:ascii="仿宋" w:hAnsi="仿宋" w:eastAsia="仿宋" w:cs="仿宋"/>
                <w:sz w:val="24"/>
              </w:rPr>
            </w:pPr>
            <w:r>
              <w:rPr>
                <w:rFonts w:hint="eastAsia" w:ascii="仿宋" w:hAnsi="仿宋" w:eastAsia="仿宋" w:cs="仿宋"/>
                <w:b/>
                <w:bCs/>
                <w:sz w:val="24"/>
                <w:shd w:val="clear" w:color="auto" w:fill="FFFFFF"/>
              </w:rPr>
              <w:t>1.提高文化服务供给。</w:t>
            </w:r>
            <w:r>
              <w:rPr>
                <w:rStyle w:val="22"/>
                <w:rFonts w:hint="eastAsia" w:ascii="仿宋" w:hAnsi="仿宋" w:eastAsia="仿宋" w:cs="仿宋"/>
                <w:sz w:val="24"/>
              </w:rPr>
              <w:t>加强基层文化队伍建设，分级分类开展业务培训，支持建设城乡社区文艺工作者队伍，不断提高基层文化服务水平。持续打造城乡文化活动品牌，加强文艺精品创造，创作征集一批思想性、艺术性、观赏性兼备的文艺精品，弘扬中华先进文化精髓，培育和发展具有鲜明地域特色的文化活动品牌，形成“一村（社区）一文化活动品牌”。建立弱势群体、特殊人群基本文化服务保障机制，开展一批特殊群体文化活动和服务项目。</w:t>
            </w:r>
          </w:p>
          <w:p>
            <w:pPr>
              <w:widowControl/>
              <w:snapToGrid w:val="0"/>
              <w:ind w:firstLine="641"/>
              <w:textAlignment w:val="baseline"/>
              <w:rPr>
                <w:rStyle w:val="22"/>
                <w:rFonts w:ascii="仿宋" w:hAnsi="仿宋" w:eastAsia="仿宋" w:cs="仿宋"/>
                <w:sz w:val="24"/>
              </w:rPr>
            </w:pPr>
            <w:r>
              <w:rPr>
                <w:rFonts w:hint="eastAsia" w:ascii="仿宋" w:hAnsi="仿宋" w:eastAsia="仿宋" w:cs="仿宋"/>
                <w:b/>
                <w:kern w:val="0"/>
                <w:sz w:val="24"/>
              </w:rPr>
              <w:t>2.加强传统文化传承。</w:t>
            </w:r>
            <w:r>
              <w:rPr>
                <w:rStyle w:val="22"/>
                <w:rFonts w:hint="eastAsia" w:ascii="仿宋" w:hAnsi="仿宋" w:eastAsia="仿宋" w:cs="仿宋"/>
                <w:sz w:val="24"/>
              </w:rPr>
              <w:t>推进传统文化传承基地和民俗文化活动基地建设。加强传统村落与乡村特色民居保护，建设群众文化活动广场、文化陈列馆（室）等基础设施，营造传习中华优秀传统文化的良好社会氛围。加强文化遗产保护。健全历史文化及非物质文化遗产保护、利用、传承机制，促进非遗产品活态传承。深度挖掘古茶树与茶文化体系的价值，大力保护、传承、挖掘、转化农业文化资源。</w:t>
            </w:r>
          </w:p>
          <w:p>
            <w:pPr>
              <w:widowControl/>
              <w:snapToGrid w:val="0"/>
              <w:ind w:firstLine="641"/>
              <w:textAlignment w:val="baseline"/>
              <w:rPr>
                <w:rStyle w:val="22"/>
                <w:rFonts w:ascii="仿宋" w:hAnsi="仿宋" w:eastAsia="仿宋" w:cs="仿宋"/>
                <w:sz w:val="24"/>
              </w:rPr>
            </w:pPr>
            <w:r>
              <w:rPr>
                <w:rFonts w:hint="eastAsia" w:ascii="仿宋" w:hAnsi="仿宋" w:eastAsia="仿宋" w:cs="仿宋"/>
                <w:b/>
                <w:kern w:val="0"/>
                <w:sz w:val="24"/>
              </w:rPr>
              <w:t>3.健全现代文化产业体系。</w:t>
            </w:r>
            <w:r>
              <w:rPr>
                <w:rStyle w:val="22"/>
                <w:rFonts w:hint="eastAsia" w:ascii="仿宋" w:hAnsi="仿宋" w:eastAsia="仿宋" w:cs="仿宋"/>
                <w:sz w:val="24"/>
              </w:rPr>
              <w:t>加强传统文化传承和红色资源开发，保护传承与活化利用非物质文化遗产、历史文物、古村落、红色文化等资源，推进非遗、演艺和产业相结合，做大文化产业。健全文化产品创作生产传播的引导激励机制，创新文化资源创意产品开发机制。打造瓷茶文化、县衙文化、农耕文化、理学文化、商业文化 “五张文化名片”，加大浮梁特色文化品牌开发推广力度。推进浮梁县考古公园、县中心文化展览区、城郊瓷窑文化区等项目，打造高品质文化旅游载体</w:t>
            </w:r>
            <w:r>
              <w:rPr>
                <w:rStyle w:val="22"/>
                <w:rFonts w:hint="eastAsia" w:ascii="仿宋" w:hAnsi="仿宋" w:eastAsia="仿宋" w:cs="仿宋"/>
                <w:sz w:val="24"/>
                <w:lang w:eastAsia="zh-CN"/>
              </w:rPr>
              <w:t>，</w:t>
            </w:r>
            <w:r>
              <w:rPr>
                <w:rStyle w:val="22"/>
                <w:rFonts w:hint="eastAsia" w:ascii="仿宋" w:hAnsi="仿宋" w:eastAsia="仿宋" w:cs="仿宋"/>
                <w:sz w:val="24"/>
              </w:rPr>
              <w:t>坚持以文塑旅、以旅彰文，推动文化和旅游融合发展。</w:t>
            </w:r>
          </w:p>
        </w:tc>
      </w:tr>
    </w:tbl>
    <w:p>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六、信息服务业</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技术创新为驱动，以信息网络为基础，加快推进新一代信息基础设施、融合基础设施、创新基础设施等新型基础设施建设，促进5G、人工智能、工业互联网、物联网、大数据等新技术全面融入生产生活，信息化发展水平跻身全市前列，产业支撑能力显著增强，</w:t>
      </w:r>
      <w:r>
        <w:rPr>
          <w:rFonts w:hint="eastAsia" w:ascii="Times New Roman" w:hAnsi="Times New Roman" w:eastAsia="仿宋_GB2312" w:cs="Times New Roman"/>
          <w:bCs/>
          <w:sz w:val="32"/>
          <w:szCs w:val="32"/>
          <w:lang w:val="en-US" w:eastAsia="zh-CN"/>
        </w:rPr>
        <w:t>成为</w:t>
      </w:r>
      <w:r>
        <w:rPr>
          <w:rFonts w:hint="eastAsia" w:ascii="Times New Roman" w:hAnsi="Times New Roman" w:eastAsia="仿宋_GB2312" w:cs="Times New Roman"/>
          <w:bCs/>
          <w:sz w:val="32"/>
          <w:szCs w:val="32"/>
        </w:rPr>
        <w:t>区域性信息枢纽。到2025年，信息传输、软件和信息技术服务业主营业务收入突破</w:t>
      </w:r>
      <w:r>
        <w:rPr>
          <w:rFonts w:hint="eastAsia" w:ascii="Times New Roman" w:hAnsi="Times New Roman" w:eastAsia="仿宋_GB2312" w:cs="Times New Roman"/>
          <w:bCs/>
          <w:sz w:val="32"/>
          <w:szCs w:val="32"/>
          <w:lang w:val="en-US" w:eastAsia="zh-CN"/>
        </w:rPr>
        <w:t>4</w:t>
      </w:r>
      <w:r>
        <w:rPr>
          <w:rFonts w:hint="eastAsia" w:ascii="Times New Roman" w:hAnsi="Times New Roman" w:eastAsia="仿宋_GB2312" w:cs="Times New Roman"/>
          <w:bCs/>
          <w:sz w:val="32"/>
          <w:szCs w:val="32"/>
        </w:rPr>
        <w:t>亿元</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到2030年达到达到5亿元，</w:t>
      </w:r>
      <w:r>
        <w:rPr>
          <w:rFonts w:hint="eastAsia" w:ascii="Times New Roman" w:hAnsi="Times New Roman" w:eastAsia="仿宋_GB2312" w:cs="Times New Roman"/>
          <w:bCs/>
          <w:sz w:val="32"/>
          <w:szCs w:val="32"/>
        </w:rPr>
        <w:t>年均增速达到8%。</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jc w:val="center"/>
              <w:rPr>
                <w:rFonts w:ascii="仿宋" w:hAnsi="仿宋" w:eastAsia="仿宋" w:cs="仿宋"/>
                <w:b/>
                <w:sz w:val="32"/>
                <w:szCs w:val="32"/>
              </w:rPr>
            </w:pPr>
            <w:r>
              <w:rPr>
                <w:rFonts w:hint="eastAsia" w:ascii="仿宋_GB2312" w:eastAsia="仿宋_GB2312" w:cs="仿宋_GB2312" w:hAnsiTheme="minorHAnsi"/>
                <w:b/>
                <w:bCs/>
                <w:color w:val="000000"/>
                <w:sz w:val="28"/>
                <w:szCs w:val="28"/>
              </w:rPr>
              <w:t>专栏8：信息服务业发展指引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ind w:firstLine="643"/>
              <w:rPr>
                <w:rStyle w:val="22"/>
                <w:rFonts w:ascii="仿宋" w:hAnsi="仿宋" w:eastAsia="仿宋" w:cs="仿宋"/>
                <w:sz w:val="24"/>
              </w:rPr>
            </w:pPr>
            <w:r>
              <w:rPr>
                <w:rFonts w:hint="eastAsia" w:ascii="仿宋" w:hAnsi="仿宋" w:eastAsia="仿宋" w:cs="仿宋"/>
                <w:b/>
                <w:sz w:val="24"/>
              </w:rPr>
              <w:t>1.工业互联网基础设施。</w:t>
            </w:r>
            <w:r>
              <w:rPr>
                <w:rStyle w:val="22"/>
                <w:rFonts w:hint="eastAsia" w:ascii="仿宋" w:hAnsi="仿宋" w:eastAsia="仿宋" w:cs="仿宋"/>
                <w:sz w:val="24"/>
              </w:rPr>
              <w:t>加快工业研发设计、生产制造、经营管理等领域数字化、网络化、智能化改造。推进互联网标识解析二级节点创新应用，积极推进现代陶瓷、新材料、电子信息、通用航空等行业重点企业接入，推广多场景标识解析，逐步形成辐射中部地区的标识服务节点。支持本地云平台服务商、基础通信运营商助力企业上云，培育一批“两化”融合试点示范企业，加快构建工业互联网创新发展生态。建设区域工业大数据中心，汇集整合区域产业链相关数据，形成为企业提质增效、节能降耗提供数据支撑。</w:t>
            </w:r>
          </w:p>
          <w:p>
            <w:pPr>
              <w:snapToGrid w:val="0"/>
              <w:ind w:firstLine="643"/>
              <w:rPr>
                <w:rStyle w:val="22"/>
                <w:rFonts w:ascii="仿宋" w:hAnsi="仿宋" w:eastAsia="仿宋" w:cs="仿宋"/>
                <w:sz w:val="24"/>
              </w:rPr>
            </w:pPr>
            <w:r>
              <w:rPr>
                <w:rFonts w:hint="eastAsia" w:ascii="仿宋" w:hAnsi="仿宋" w:eastAsia="仿宋" w:cs="仿宋"/>
                <w:b/>
                <w:sz w:val="24"/>
              </w:rPr>
              <w:t>2.信息技术应用。</w:t>
            </w:r>
            <w:r>
              <w:rPr>
                <w:rStyle w:val="22"/>
                <w:rFonts w:hint="eastAsia" w:ascii="仿宋" w:hAnsi="仿宋" w:eastAsia="仿宋" w:cs="仿宋"/>
                <w:sz w:val="24"/>
              </w:rPr>
              <w:t>加速信息服务与各行业领域的融合应用，推动产业数字化转型，提升“智慧+”综合集成应用水平，完成“智慧水利”“智慧校园”“智慧农业”“智慧交通”“智慧法院”“智慧医疗”“智慧旅游”等一系列项目。鼓励有条件的企业积极发展大规模个性化定制、网络化协同制造、服务型制造等新模式，探索人工智能、5G、数字孪生等技术应用，推进全流程、全环节数字化集成协同。</w:t>
            </w:r>
          </w:p>
          <w:p>
            <w:pPr>
              <w:snapToGrid w:val="0"/>
              <w:ind w:firstLine="482" w:firstLineChars="200"/>
              <w:rPr>
                <w:rFonts w:ascii="仿宋" w:hAnsi="仿宋" w:eastAsia="仿宋" w:cs="仿宋"/>
                <w:b/>
                <w:sz w:val="32"/>
                <w:szCs w:val="32"/>
              </w:rPr>
            </w:pPr>
            <w:r>
              <w:rPr>
                <w:rFonts w:hint="eastAsia" w:ascii="仿宋" w:hAnsi="仿宋" w:eastAsia="仿宋" w:cs="仿宋"/>
                <w:b/>
                <w:kern w:val="0"/>
                <w:sz w:val="24"/>
              </w:rPr>
              <w:t>3.软件业。</w:t>
            </w:r>
            <w:r>
              <w:rPr>
                <w:rStyle w:val="22"/>
                <w:rFonts w:hint="eastAsia" w:ascii="仿宋" w:hAnsi="仿宋" w:eastAsia="仿宋" w:cs="仿宋"/>
                <w:sz w:val="24"/>
              </w:rPr>
              <w:t>推进软件从产品转向服务，放大嵌入式软件研发应用。大力开发嵌入式操作系统、核心支撑软件以及电子商务系统、社会管理系统、企业信息化系统、各类工业软件、信息安全系统等应用软件。依托江西省陶瓷企业信息化工程技术研究中心，完善软件测评、系统集成等平台服务功能，重点扶持、引进一批细分领域领军企业，推动中小软件企业集聚发展。</w:t>
            </w:r>
          </w:p>
        </w:tc>
      </w:tr>
    </w:tbl>
    <w:p>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七、现代物流业</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打造与区域经济社会发展相适应的“枢纽+通道+网络”物流运行体系，培育一批经营理念领先、技术先进、竞争力强、品牌知名度高的第三方物流企业，物流服务网络向国内外拓展，商流、物流、资金流、信息流畅通，物流综合服务能力明显提高，社会物流总成本显著降低。到2025年，现代物流业主营业务收入（交通运输、仓储和邮政业）达5亿元，</w:t>
      </w:r>
      <w:r>
        <w:rPr>
          <w:rFonts w:hint="eastAsia" w:ascii="Times New Roman" w:hAnsi="Times New Roman" w:eastAsia="仿宋_GB2312" w:cs="Times New Roman"/>
          <w:bCs/>
          <w:sz w:val="32"/>
          <w:szCs w:val="32"/>
          <w:lang w:val="en-US" w:eastAsia="zh-CN"/>
        </w:rPr>
        <w:t>到2030年达到9亿元，</w:t>
      </w:r>
      <w:r>
        <w:rPr>
          <w:rFonts w:hint="eastAsia" w:ascii="Times New Roman" w:hAnsi="Times New Roman" w:eastAsia="仿宋_GB2312" w:cs="Times New Roman"/>
          <w:bCs/>
          <w:sz w:val="32"/>
          <w:szCs w:val="32"/>
        </w:rPr>
        <w:t>年均增速13%</w:t>
      </w:r>
      <w:r>
        <w:rPr>
          <w:rFonts w:hint="eastAsia" w:ascii="Times New Roman" w:hAnsi="Times New Roman" w:eastAsia="仿宋_GB2312" w:cs="Times New Roman"/>
          <w:bCs/>
          <w:sz w:val="32"/>
          <w:szCs w:val="32"/>
          <w:lang w:val="en-US" w:eastAsia="zh-CN"/>
        </w:rPr>
        <w:t>左右</w:t>
      </w:r>
      <w:r>
        <w:rPr>
          <w:rFonts w:hint="eastAsia" w:ascii="Times New Roman" w:hAnsi="Times New Roman" w:eastAsia="仿宋_GB2312" w:cs="Times New Roman"/>
          <w:bCs/>
          <w:sz w:val="32"/>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jc w:val="center"/>
              <w:rPr>
                <w:rStyle w:val="22"/>
                <w:rFonts w:ascii="仿宋" w:hAnsi="仿宋" w:eastAsia="仿宋" w:cs="仿宋"/>
                <w:sz w:val="32"/>
                <w:szCs w:val="32"/>
              </w:rPr>
            </w:pPr>
            <w:r>
              <w:rPr>
                <w:rFonts w:hint="eastAsia" w:ascii="仿宋_GB2312" w:eastAsia="仿宋_GB2312" w:cs="仿宋_GB2312" w:hAnsiTheme="minorHAnsi"/>
                <w:b/>
                <w:bCs/>
                <w:color w:val="000000"/>
                <w:sz w:val="28"/>
                <w:szCs w:val="28"/>
              </w:rPr>
              <w:t>专栏9：现代物流业发展指引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ind w:firstLine="643"/>
              <w:rPr>
                <w:rStyle w:val="22"/>
                <w:rFonts w:ascii="仿宋" w:hAnsi="仿宋" w:eastAsia="仿宋" w:cs="仿宋"/>
                <w:sz w:val="24"/>
              </w:rPr>
            </w:pPr>
            <w:r>
              <w:rPr>
                <w:rFonts w:hint="eastAsia" w:ascii="仿宋" w:hAnsi="仿宋" w:eastAsia="仿宋" w:cs="仿宋"/>
                <w:b/>
                <w:kern w:val="0"/>
                <w:sz w:val="24"/>
              </w:rPr>
              <w:t>1.新型物流设施体系。</w:t>
            </w:r>
            <w:r>
              <w:rPr>
                <w:rStyle w:val="22"/>
                <w:rFonts w:hint="eastAsia" w:ascii="仿宋" w:hAnsi="仿宋" w:eastAsia="仿宋" w:cs="仿宋"/>
                <w:sz w:val="24"/>
              </w:rPr>
              <w:t>围绕电子商务、产业发展需求，布局形成一园（三龙物流园）多点物流业发展格局。在王港乡大岭建设仓储物流产业园（村集体经济产业园）</w:t>
            </w:r>
            <w:r>
              <w:rPr>
                <w:rStyle w:val="22"/>
                <w:rFonts w:hint="eastAsia" w:ascii="仿宋" w:hAnsi="仿宋" w:eastAsia="仿宋" w:cs="仿宋"/>
                <w:sz w:val="24"/>
                <w:lang w:eastAsia="zh-CN"/>
              </w:rPr>
              <w:t>，</w:t>
            </w:r>
            <w:r>
              <w:rPr>
                <w:rStyle w:val="22"/>
                <w:rFonts w:hint="eastAsia" w:ascii="仿宋" w:hAnsi="仿宋" w:eastAsia="仿宋" w:cs="仿宋"/>
                <w:sz w:val="24"/>
                <w:lang w:val="en-US" w:eastAsia="zh-CN"/>
              </w:rPr>
              <w:t>在</w:t>
            </w:r>
            <w:r>
              <w:rPr>
                <w:rStyle w:val="22"/>
                <w:rFonts w:hint="eastAsia" w:ascii="仿宋" w:hAnsi="仿宋" w:eastAsia="仿宋" w:cs="仿宋"/>
                <w:sz w:val="24"/>
              </w:rPr>
              <w:t>交通节点布局一批现代化城市物流配送中心、分拨中心、末端网点；支持城市住宅小区配建便民快递网点；实施城乡高效配送试点示范工程，推进快递业“两进一出”。</w:t>
            </w:r>
          </w:p>
          <w:p>
            <w:pPr>
              <w:snapToGrid w:val="0"/>
              <w:ind w:firstLine="643"/>
              <w:rPr>
                <w:rStyle w:val="22"/>
                <w:rFonts w:ascii="仿宋" w:hAnsi="仿宋" w:eastAsia="仿宋" w:cs="仿宋"/>
                <w:sz w:val="24"/>
              </w:rPr>
            </w:pPr>
            <w:r>
              <w:rPr>
                <w:rFonts w:hint="eastAsia" w:ascii="仿宋" w:hAnsi="仿宋" w:eastAsia="仿宋" w:cs="仿宋"/>
                <w:b/>
                <w:kern w:val="0"/>
                <w:sz w:val="24"/>
              </w:rPr>
              <w:t>2.物流数字化和智能化发展。</w:t>
            </w:r>
            <w:r>
              <w:rPr>
                <w:rStyle w:val="22"/>
                <w:rFonts w:hint="eastAsia" w:ascii="仿宋" w:hAnsi="仿宋" w:eastAsia="仿宋" w:cs="仿宋"/>
                <w:sz w:val="24"/>
              </w:rPr>
              <w:t>推动大中型物流企业“上云用数赋智”，利用云计算、大数据、物联网、人工智能等现代信息技术，搭建数字化、网络化、协同化物流公共服务平台，树立一批数字化转型标杆企业和典型应用场景。加强物流公共服务平台建设，推出一批便捷高效成本经济的数字化解决方案，带动中小微物流企业加快数字化转型。加快推进智慧物流园区建设，打造智慧物流园区设施网络加快智能仓储、快递智能分拣、智能快（邮）件箱布局等建设，推广应用一批智能化技术装备，支持物流企业智能化改造提升。推动物流装备智慧化升级，加强对冷链物流、智能物流、仓储物流等物流装备研发指导和首台（套）产品认定，提升物流装备智能化、自主化水平。</w:t>
            </w:r>
          </w:p>
          <w:p>
            <w:pPr>
              <w:snapToGrid w:val="0"/>
              <w:ind w:firstLine="643"/>
              <w:rPr>
                <w:rStyle w:val="22"/>
                <w:rFonts w:ascii="仿宋" w:hAnsi="仿宋" w:eastAsia="仿宋" w:cs="仿宋"/>
                <w:sz w:val="24"/>
              </w:rPr>
            </w:pPr>
            <w:r>
              <w:rPr>
                <w:rFonts w:hint="eastAsia" w:ascii="仿宋" w:hAnsi="仿宋" w:eastAsia="仿宋" w:cs="仿宋"/>
                <w:b/>
                <w:kern w:val="0"/>
                <w:sz w:val="24"/>
              </w:rPr>
              <w:t>3.绿色物流。</w:t>
            </w:r>
            <w:r>
              <w:rPr>
                <w:rStyle w:val="22"/>
                <w:rFonts w:hint="eastAsia" w:ascii="仿宋" w:hAnsi="仿宋" w:eastAsia="仿宋" w:cs="仿宋"/>
                <w:sz w:val="24"/>
              </w:rPr>
              <w:t>鼓励物流企业采用低能耗、低排放运输工具和节能型绿色仓储设施推广托盘等集装单元化技术。建立快递包装物循环共用体系，鼓励使用绿色包装材料，促进物流包装减量和循环利用，减少过度包装和二次包装。</w:t>
            </w:r>
          </w:p>
          <w:p>
            <w:pPr>
              <w:pStyle w:val="7"/>
              <w:rPr>
                <w:rStyle w:val="22"/>
                <w:rFonts w:hint="default" w:ascii="仿宋" w:hAnsi="仿宋" w:eastAsia="仿宋" w:cs="仿宋"/>
                <w:sz w:val="32"/>
                <w:szCs w:val="32"/>
                <w:lang w:eastAsia="zh-CN"/>
              </w:rPr>
            </w:pPr>
            <w:r>
              <w:rPr>
                <w:rFonts w:ascii="仿宋" w:hAnsi="仿宋" w:eastAsia="仿宋" w:cs="仿宋"/>
                <w:b/>
                <w:lang w:eastAsia="zh-CN"/>
              </w:rPr>
              <w:t>4.农村物流。</w:t>
            </w:r>
            <w:r>
              <w:rPr>
                <w:rStyle w:val="22"/>
                <w:rFonts w:ascii="仿宋" w:hAnsi="仿宋" w:eastAsia="仿宋" w:cs="仿宋"/>
                <w:lang w:eastAsia="zh-CN"/>
              </w:rPr>
              <w:t>建立交通运输、商务、农业、供销、邮政管理等多部门共同推进农村物流融合发展的新机制。依托各部门和行业在农村物流发展中的基础条件和优势，加强资源整合共享与合作开发，形成“场站共享、服务同网、货源集中、信息互通”的农村物流融合发展新格局。</w:t>
            </w:r>
          </w:p>
        </w:tc>
      </w:tr>
    </w:tbl>
    <w:p>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八、科技服务业</w:t>
      </w:r>
    </w:p>
    <w:p>
      <w:pPr>
        <w:spacing w:line="560" w:lineRule="exact"/>
        <w:ind w:firstLine="640" w:firstLineChars="20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依托景德镇陶瓷大学、景德镇学院等高校，以满足产业提升发展需求为导向，搭建一批新型研发机构、孵化载体平台，招引一批高端化、专业化科技服务主体，扎实推进陶瓷特别是先进陶瓷科技服务体系建设，成为国内陶瓷科技创新主要策源地。</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jc w:val="center"/>
            </w:pPr>
            <w:r>
              <w:rPr>
                <w:rFonts w:hint="eastAsia" w:ascii="仿宋_GB2312" w:eastAsia="仿宋_GB2312" w:cs="仿宋_GB2312" w:hAnsiTheme="minorHAnsi"/>
                <w:b/>
                <w:bCs/>
                <w:color w:val="000000"/>
                <w:sz w:val="28"/>
                <w:szCs w:val="28"/>
              </w:rPr>
              <w:t>专栏10：科技服务业发展指引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napToGrid w:val="0"/>
              <w:ind w:firstLine="641"/>
              <w:rPr>
                <w:rFonts w:ascii="仿宋" w:hAnsi="仿宋" w:eastAsia="仿宋" w:cs="仿宋"/>
                <w:bCs/>
                <w:kern w:val="0"/>
                <w:sz w:val="24"/>
              </w:rPr>
            </w:pPr>
            <w:r>
              <w:rPr>
                <w:rFonts w:hint="eastAsia" w:ascii="仿宋" w:hAnsi="仿宋" w:eastAsia="仿宋" w:cs="仿宋"/>
                <w:b/>
                <w:kern w:val="0"/>
                <w:sz w:val="24"/>
              </w:rPr>
              <w:t>1.特色优势产业研发服务。</w:t>
            </w:r>
            <w:r>
              <w:rPr>
                <w:rFonts w:hint="eastAsia" w:ascii="仿宋" w:hAnsi="仿宋" w:eastAsia="仿宋" w:cs="仿宋"/>
                <w:bCs/>
                <w:kern w:val="0"/>
                <w:sz w:val="24"/>
              </w:rPr>
              <w:t>积极对接国家科技创新“ 2030”和全省科技重大专项计划，完善科技资源共享体系，优化重点实验室、工程技术（研究）中心等研发基地在先行区布局。依托景德镇陶瓷大学、景德镇学院孵化一批高科技服务企业。推动行业内标杆企业与景德镇陶瓷大学、景德镇学院等高校、科研结构合作，形成高校、科研机构、龙头企业和中小企业共同参与的特色优势产业研发体系。</w:t>
            </w:r>
          </w:p>
          <w:p>
            <w:pPr>
              <w:snapToGrid w:val="0"/>
              <w:ind w:firstLine="641"/>
            </w:pPr>
            <w:r>
              <w:rPr>
                <w:rFonts w:hint="eastAsia" w:ascii="仿宋" w:hAnsi="仿宋" w:eastAsia="仿宋" w:cs="仿宋"/>
                <w:b/>
                <w:kern w:val="0"/>
                <w:sz w:val="24"/>
              </w:rPr>
              <w:t>2.科技成果转化。</w:t>
            </w:r>
            <w:r>
              <w:rPr>
                <w:rFonts w:hint="eastAsia" w:ascii="仿宋" w:hAnsi="仿宋" w:eastAsia="仿宋" w:cs="仿宋"/>
                <w:bCs/>
                <w:kern w:val="0"/>
                <w:sz w:val="24"/>
              </w:rPr>
              <w:t>引进和培育一批专业化的科技成果转移转化机构、科技咨询服务机构。搭建创新创业成果交易服务平台，高效推进科研成果转化，设立市场化技术转移中心，提升技术成果评估、筛选、对接、运营等服务能力。</w:t>
            </w:r>
          </w:p>
        </w:tc>
      </w:tr>
    </w:tbl>
    <w:p>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九、康养旅居产业</w:t>
      </w:r>
    </w:p>
    <w:p>
      <w:pPr>
        <w:spacing w:line="560" w:lineRule="exact"/>
        <w:ind w:firstLine="640" w:firstLineChars="200"/>
        <w:rPr>
          <w:rFonts w:hint="eastAsia" w:ascii="Times New Roman" w:hAnsi="Times New Roman" w:eastAsia="仿宋_GB2312" w:cs="Times New Roman"/>
          <w:bCs/>
          <w:sz w:val="32"/>
          <w:szCs w:val="32"/>
          <w:lang w:val="en-US" w:eastAsia="zh-CN"/>
        </w:rPr>
      </w:pPr>
      <w:r>
        <w:rPr>
          <w:rFonts w:ascii="Times New Roman" w:hAnsi="Times New Roman" w:eastAsia="仿宋_GB2312" w:cs="Times New Roman"/>
          <w:bCs/>
          <w:sz w:val="32"/>
          <w:szCs w:val="32"/>
        </w:rPr>
        <w:t>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健康浮梁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为统领，积极发展</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山水+</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文化+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森林+</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茶园+</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等独具特色的浮梁康养产业，按照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三年打基础、五年有突破、十年见成效</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目标思路，着力打造生态康养、田园康养、森林康养、中医药康养、文化（瓷茶文化）康养四大生态康养业态，做大做强医疗康养集团，建设浮梁源乡项目，推动康旅产业与现代农业、特色民宿、山谷经济、医疗养生等深度融合，构建集医疗、康复、疗养、休闲、度假、会议会展为一体的大健康产业体系，全域打造康养庄园、宜居家园。到20</w:t>
      </w:r>
      <w:r>
        <w:rPr>
          <w:rFonts w:hint="eastAsia" w:ascii="Times New Roman" w:hAnsi="Times New Roman" w:eastAsia="仿宋_GB2312" w:cs="Times New Roman"/>
          <w:bCs/>
          <w:sz w:val="32"/>
          <w:szCs w:val="32"/>
          <w:lang w:val="en-US" w:eastAsia="zh-CN"/>
        </w:rPr>
        <w:t>30</w:t>
      </w:r>
      <w:r>
        <w:rPr>
          <w:rFonts w:ascii="Times New Roman" w:hAnsi="Times New Roman" w:eastAsia="仿宋_GB2312" w:cs="Times New Roman"/>
          <w:bCs/>
          <w:sz w:val="32"/>
          <w:szCs w:val="32"/>
        </w:rPr>
        <w:t>年，</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食养+林养+药养+文养</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四位一体的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生态康养</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产业体系</w:t>
      </w:r>
      <w:r>
        <w:rPr>
          <w:rFonts w:hint="eastAsia" w:ascii="Times New Roman" w:hAnsi="Times New Roman" w:eastAsia="仿宋_GB2312" w:cs="Times New Roman"/>
          <w:bCs/>
          <w:sz w:val="32"/>
          <w:szCs w:val="32"/>
          <w:lang w:val="en-US" w:eastAsia="zh-CN"/>
        </w:rPr>
        <w:t>基本形成</w:t>
      </w:r>
      <w:r>
        <w:rPr>
          <w:rFonts w:ascii="Times New Roman" w:hAnsi="Times New Roman" w:eastAsia="仿宋_GB2312" w:cs="Times New Roman"/>
          <w:bCs/>
          <w:sz w:val="32"/>
          <w:szCs w:val="32"/>
        </w:rPr>
        <w:t>，生态康养产业</w:t>
      </w:r>
      <w:r>
        <w:rPr>
          <w:rFonts w:hint="eastAsia" w:ascii="Times New Roman" w:hAnsi="Times New Roman" w:eastAsia="仿宋_GB2312" w:cs="Times New Roman"/>
          <w:bCs/>
          <w:sz w:val="32"/>
          <w:szCs w:val="32"/>
          <w:lang w:val="en-US" w:eastAsia="zh-CN"/>
        </w:rPr>
        <w:t>实现收入超</w:t>
      </w:r>
      <w:r>
        <w:rPr>
          <w:rFonts w:ascii="Times New Roman" w:hAnsi="Times New Roman" w:eastAsia="仿宋_GB2312" w:cs="Times New Roman"/>
          <w:bCs/>
          <w:sz w:val="32"/>
          <w:szCs w:val="32"/>
        </w:rPr>
        <w:t>亿</w:t>
      </w:r>
      <w:r>
        <w:rPr>
          <w:rFonts w:hint="eastAsia" w:ascii="Times New Roman" w:hAnsi="Times New Roman" w:eastAsia="仿宋_GB2312" w:cs="Times New Roman"/>
          <w:bCs/>
          <w:sz w:val="32"/>
          <w:szCs w:val="32"/>
          <w:lang w:val="en-US" w:eastAsia="zh-CN"/>
        </w:rPr>
        <w:t>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5"/>
              <w:jc w:val="center"/>
            </w:pPr>
            <w:r>
              <w:rPr>
                <w:rFonts w:ascii="仿宋_GB2312" w:eastAsia="仿宋_GB2312" w:cs="仿宋_GB2312" w:hAnsiTheme="minorHAnsi"/>
                <w:b/>
                <w:bCs/>
                <w:color w:val="000000"/>
                <w:sz w:val="28"/>
                <w:szCs w:val="28"/>
              </w:rPr>
              <w:t>专栏1</w:t>
            </w:r>
            <w:r>
              <w:rPr>
                <w:rFonts w:hint="eastAsia" w:ascii="仿宋_GB2312" w:eastAsia="仿宋_GB2312" w:cs="仿宋_GB2312" w:hAnsiTheme="minorHAnsi"/>
                <w:b/>
                <w:bCs/>
                <w:color w:val="000000"/>
                <w:sz w:val="28"/>
                <w:szCs w:val="28"/>
              </w:rPr>
              <w:t>1</w:t>
            </w:r>
            <w:r>
              <w:rPr>
                <w:rFonts w:ascii="仿宋_GB2312" w:eastAsia="仿宋_GB2312" w:cs="仿宋_GB2312" w:hAnsiTheme="minorHAnsi"/>
                <w:b/>
                <w:bCs/>
                <w:color w:val="000000"/>
                <w:sz w:val="28"/>
                <w:szCs w:val="28"/>
              </w:rPr>
              <w:t>：</w:t>
            </w:r>
            <w:r>
              <w:rPr>
                <w:rFonts w:hint="eastAsia" w:ascii="仿宋_GB2312" w:eastAsia="仿宋_GB2312" w:cs="仿宋_GB2312" w:hAnsiTheme="minorHAnsi"/>
                <w:b/>
                <w:bCs/>
                <w:color w:val="000000"/>
                <w:sz w:val="28"/>
                <w:szCs w:val="28"/>
              </w:rPr>
              <w:t>康养旅居产业发展指引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7"/>
              <w:rPr>
                <w:rFonts w:hint="default" w:ascii="仿宋" w:hAnsi="仿宋" w:eastAsia="仿宋" w:cs="仿宋"/>
                <w:bCs/>
                <w:lang w:eastAsia="zh-CN" w:bidi="ar-SA"/>
              </w:rPr>
            </w:pPr>
            <w:r>
              <w:rPr>
                <w:rFonts w:ascii="仿宋" w:hAnsi="仿宋" w:eastAsia="仿宋" w:cs="仿宋"/>
                <w:b/>
                <w:lang w:eastAsia="zh-CN" w:bidi="ar-SA"/>
              </w:rPr>
              <w:t>1.谋划一批项目。</w:t>
            </w:r>
            <w:r>
              <w:rPr>
                <w:rFonts w:ascii="仿宋" w:hAnsi="仿宋" w:eastAsia="仿宋" w:cs="仿宋"/>
                <w:bCs/>
                <w:lang w:eastAsia="zh-CN" w:bidi="ar-SA"/>
              </w:rPr>
              <w:t>根据浮梁县</w:t>
            </w:r>
            <w:r>
              <w:rPr>
                <w:rFonts w:hint="default" w:ascii="仿宋" w:hAnsi="仿宋" w:eastAsia="仿宋" w:cs="仿宋"/>
                <w:bCs/>
                <w:lang w:eastAsia="zh-CN" w:bidi="ar-SA"/>
              </w:rPr>
              <w:t>生态康养产业发展规划，因地制宜</w:t>
            </w:r>
            <w:r>
              <w:rPr>
                <w:rFonts w:ascii="仿宋" w:hAnsi="仿宋" w:eastAsia="仿宋" w:cs="仿宋"/>
                <w:bCs/>
                <w:lang w:eastAsia="zh-CN" w:bidi="ar-SA"/>
              </w:rPr>
              <w:t>谋划建设一批</w:t>
            </w:r>
            <w:r>
              <w:rPr>
                <w:rFonts w:hint="default" w:ascii="仿宋" w:hAnsi="仿宋" w:eastAsia="仿宋" w:cs="仿宋"/>
                <w:bCs/>
                <w:lang w:eastAsia="zh-CN" w:bidi="ar-SA"/>
              </w:rPr>
              <w:t>旅游景区依托型、特色小镇引领型、美丽乡村发展型、茶农产业带动型等生态康养旅游示范基地，谋划建设一批重大生态康养项目。</w:t>
            </w:r>
          </w:p>
          <w:p>
            <w:pPr>
              <w:pStyle w:val="7"/>
              <w:rPr>
                <w:rFonts w:hint="default" w:ascii="仿宋" w:hAnsi="仿宋" w:eastAsia="仿宋" w:cs="仿宋"/>
                <w:bCs/>
                <w:lang w:eastAsia="zh-CN" w:bidi="ar-SA"/>
              </w:rPr>
            </w:pPr>
            <w:r>
              <w:rPr>
                <w:rFonts w:ascii="仿宋" w:hAnsi="仿宋" w:eastAsia="仿宋" w:cs="仿宋"/>
                <w:b/>
                <w:lang w:eastAsia="zh-CN" w:bidi="ar-SA"/>
              </w:rPr>
              <w:t>2.</w:t>
            </w:r>
            <w:r>
              <w:rPr>
                <w:rFonts w:hint="default" w:ascii="仿宋" w:hAnsi="仿宋" w:eastAsia="仿宋" w:cs="仿宋"/>
                <w:b/>
                <w:lang w:eastAsia="zh-CN" w:bidi="ar-SA"/>
              </w:rPr>
              <w:t>培育发展生态康养服务相关支撑。</w:t>
            </w:r>
            <w:r>
              <w:rPr>
                <w:rFonts w:hint="default" w:ascii="仿宋" w:hAnsi="仿宋" w:eastAsia="仿宋" w:cs="仿宋"/>
                <w:bCs/>
                <w:lang w:eastAsia="zh-CN" w:bidi="ar-SA"/>
              </w:rPr>
              <w:t>加大生态康养产业的人才培养和职业培训力度，利用在地院校优势，开设健康管理类专业，引进或成立国家级健康管理协会或学会，规范并加快培养健康管理师、健康护理员、营养配餐师、保健按摩师、康复治疗师等职业。鼓励成立专业管理或咨询机构，发展面向生态康养产业的第三方管理与咨询服务，开展与生态健康服务业相关的委托管理、管理咨询等服务。引导发展与生态康养产业相关的第三方专业医疗服务机构，如建立健康管理中心、康复中心、森林疗养院、森林医院等医疗服务机构。</w:t>
            </w:r>
          </w:p>
          <w:p>
            <w:pPr>
              <w:pStyle w:val="7"/>
              <w:rPr>
                <w:rFonts w:hint="default" w:ascii="仿宋" w:hAnsi="仿宋" w:eastAsia="仿宋" w:cs="仿宋"/>
                <w:bCs/>
                <w:lang w:eastAsia="zh-CN" w:bidi="ar-SA"/>
              </w:rPr>
            </w:pPr>
            <w:r>
              <w:rPr>
                <w:rFonts w:ascii="仿宋" w:hAnsi="仿宋" w:eastAsia="仿宋" w:cs="仿宋"/>
                <w:b/>
                <w:lang w:eastAsia="zh-CN" w:bidi="ar-SA"/>
              </w:rPr>
              <w:t>3.</w:t>
            </w:r>
            <w:r>
              <w:rPr>
                <w:rFonts w:hint="default" w:ascii="仿宋" w:hAnsi="仿宋" w:eastAsia="仿宋" w:cs="仿宋"/>
                <w:b/>
                <w:lang w:eastAsia="zh-CN" w:bidi="ar-SA"/>
              </w:rPr>
              <w:t>大力发展田园康养。</w:t>
            </w:r>
            <w:r>
              <w:rPr>
                <w:rFonts w:hint="default" w:ascii="仿宋" w:hAnsi="仿宋" w:eastAsia="仿宋" w:cs="仿宋"/>
                <w:bCs/>
                <w:lang w:eastAsia="zh-CN" w:bidi="ar-SA"/>
              </w:rPr>
              <w:t>将农业农村建设发展与康养旅居产业深度融合，围绕绿色有机农业农产品生产供应基地、农业园区、茶山</w:t>
            </w:r>
            <w:r>
              <w:rPr>
                <w:rFonts w:ascii="仿宋" w:hAnsi="仿宋" w:eastAsia="仿宋" w:cs="仿宋"/>
                <w:bCs/>
                <w:lang w:eastAsia="zh-CN" w:bidi="ar-SA"/>
              </w:rPr>
              <w:t>果</w:t>
            </w:r>
            <w:r>
              <w:rPr>
                <w:rFonts w:hint="default" w:ascii="仿宋" w:hAnsi="仿宋" w:eastAsia="仿宋" w:cs="仿宋"/>
                <w:bCs/>
                <w:lang w:eastAsia="zh-CN" w:bidi="ar-SA"/>
              </w:rPr>
              <w:t>园观光示范基地、家庭农场等，培育打造生态农业观光区、特色农业休闲区、绿色农家庄园、乡创艺术体验区、农产品电商基地、体验农庄、现代农业庄园、田园综合体等多元融合的田园康养项目。</w:t>
            </w:r>
          </w:p>
          <w:p>
            <w:pPr>
              <w:pStyle w:val="7"/>
              <w:rPr>
                <w:rFonts w:hint="default" w:ascii="仿宋" w:hAnsi="仿宋" w:eastAsia="仿宋" w:cs="仿宋"/>
                <w:b/>
                <w:lang w:eastAsia="zh-CN" w:bidi="ar-SA"/>
              </w:rPr>
            </w:pPr>
            <w:r>
              <w:rPr>
                <w:rFonts w:ascii="仿宋" w:hAnsi="仿宋" w:eastAsia="仿宋" w:cs="仿宋"/>
                <w:b/>
                <w:lang w:eastAsia="zh-CN" w:bidi="ar-SA"/>
              </w:rPr>
              <w:t>4.</w:t>
            </w:r>
            <w:r>
              <w:rPr>
                <w:rFonts w:hint="default" w:ascii="仿宋" w:hAnsi="仿宋" w:eastAsia="仿宋" w:cs="仿宋"/>
                <w:b/>
                <w:lang w:eastAsia="zh-CN" w:bidi="ar-SA"/>
              </w:rPr>
              <w:t>大力培育森林康养。</w:t>
            </w:r>
            <w:r>
              <w:rPr>
                <w:rFonts w:hint="default" w:ascii="仿宋" w:hAnsi="仿宋" w:eastAsia="仿宋" w:cs="仿宋"/>
                <w:bCs/>
                <w:lang w:eastAsia="zh-CN" w:bidi="ar-SA"/>
              </w:rPr>
              <w:t>依托森林资源形成的</w:t>
            </w:r>
            <w:r>
              <w:rPr>
                <w:rFonts w:ascii="仿宋" w:hAnsi="仿宋" w:eastAsia="仿宋" w:cs="仿宋"/>
                <w:bCs/>
                <w:lang w:eastAsia="zh-CN" w:bidi="ar-SA"/>
              </w:rPr>
              <w:t>“</w:t>
            </w:r>
            <w:r>
              <w:rPr>
                <w:rFonts w:hint="default" w:ascii="仿宋" w:hAnsi="仿宋" w:eastAsia="仿宋" w:cs="仿宋"/>
                <w:bCs/>
                <w:lang w:eastAsia="zh-CN" w:bidi="ar-SA"/>
              </w:rPr>
              <w:t>天然氧吧</w:t>
            </w:r>
            <w:r>
              <w:rPr>
                <w:rFonts w:ascii="仿宋" w:hAnsi="仿宋" w:eastAsia="仿宋" w:cs="仿宋"/>
                <w:bCs/>
                <w:lang w:eastAsia="zh-CN" w:bidi="ar-SA"/>
              </w:rPr>
              <w:t>”</w:t>
            </w:r>
            <w:r>
              <w:rPr>
                <w:rFonts w:hint="default" w:ascii="仿宋" w:hAnsi="仿宋" w:eastAsia="仿宋" w:cs="仿宋"/>
                <w:bCs/>
                <w:lang w:eastAsia="zh-CN" w:bidi="ar-SA"/>
              </w:rPr>
              <w:t>，建设一批森林小镇、森林乡村、森林人家、森林步道和森林疗养康复场所，发展高端森林康养产业。重点培育新平森林康养小镇，</w:t>
            </w:r>
            <w:r>
              <w:rPr>
                <w:rFonts w:ascii="仿宋" w:hAnsi="仿宋" w:eastAsia="仿宋" w:cs="仿宋"/>
                <w:bCs/>
                <w:lang w:eastAsia="zh-CN" w:bidi="ar-SA"/>
              </w:rPr>
              <w:t>建好</w:t>
            </w:r>
            <w:r>
              <w:rPr>
                <w:rFonts w:hint="default" w:ascii="仿宋" w:hAnsi="仿宋" w:eastAsia="仿宋" w:cs="仿宋"/>
                <w:bCs/>
                <w:lang w:eastAsia="zh-CN" w:bidi="ar-SA"/>
              </w:rPr>
              <w:t>湘湖镇进坑省级森林乡村</w:t>
            </w:r>
            <w:r>
              <w:rPr>
                <w:rFonts w:ascii="仿宋" w:hAnsi="仿宋" w:eastAsia="仿宋" w:cs="仿宋"/>
                <w:bCs/>
                <w:lang w:eastAsia="zh-CN" w:bidi="ar-SA"/>
              </w:rPr>
              <w:t>。</w:t>
            </w:r>
          </w:p>
          <w:p>
            <w:pPr>
              <w:pStyle w:val="7"/>
              <w:rPr>
                <w:rFonts w:hint="default"/>
                <w:lang w:eastAsia="zh-CN"/>
              </w:rPr>
            </w:pPr>
            <w:r>
              <w:rPr>
                <w:rFonts w:ascii="仿宋" w:hAnsi="仿宋" w:eastAsia="仿宋" w:cs="仿宋"/>
                <w:b/>
                <w:lang w:eastAsia="zh-CN" w:bidi="ar-SA"/>
              </w:rPr>
              <w:t>5.</w:t>
            </w:r>
            <w:r>
              <w:rPr>
                <w:rFonts w:hint="default" w:ascii="仿宋" w:hAnsi="仿宋" w:eastAsia="仿宋" w:cs="仿宋"/>
                <w:b/>
                <w:lang w:eastAsia="zh-CN" w:bidi="ar-SA"/>
              </w:rPr>
              <w:t>大力发展中医药康养新兴业态，</w:t>
            </w:r>
            <w:r>
              <w:rPr>
                <w:rFonts w:hint="default" w:ascii="仿宋" w:hAnsi="仿宋" w:eastAsia="仿宋" w:cs="仿宋"/>
                <w:bCs/>
                <w:lang w:eastAsia="zh-CN" w:bidi="ar-SA"/>
              </w:rPr>
              <w:t>推进药旅养融合，整合医养护资源，支持社会资本和中医药企业建设中医药文化街、中药材观赏园、中医药体验馆、养生度假村。加大药品、保健品与药食同源系列产品饮品综合开发，推进中药材与药膳、功能性食品、特殊医疗配方开发融合发展</w:t>
            </w:r>
            <w:r>
              <w:rPr>
                <w:rFonts w:ascii="仿宋" w:hAnsi="仿宋" w:eastAsia="仿宋" w:cs="仿宋"/>
                <w:bCs/>
                <w:lang w:eastAsia="zh-CN" w:bidi="ar-SA"/>
              </w:rPr>
              <w:t>，</w:t>
            </w:r>
            <w:r>
              <w:rPr>
                <w:rFonts w:hint="default" w:ascii="仿宋" w:hAnsi="仿宋" w:eastAsia="仿宋" w:cs="仿宋"/>
                <w:bCs/>
                <w:lang w:eastAsia="zh-CN" w:bidi="ar-SA"/>
              </w:rPr>
              <w:t>打造中医药康养产业示范品牌。</w:t>
            </w:r>
          </w:p>
        </w:tc>
      </w:tr>
    </w:tbl>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2" w:name="_Toc6780"/>
      <w:r>
        <w:rPr>
          <w:rFonts w:hint="eastAsia" w:ascii="Times New Roman" w:hAnsi="Times New Roman" w:eastAsia="黑体" w:cs="Times New Roman"/>
          <w:sz w:val="32"/>
          <w:szCs w:val="32"/>
        </w:rPr>
        <w:t>第四节  现代农业</w:t>
      </w:r>
      <w:bookmarkEnd w:id="42"/>
    </w:p>
    <w:p>
      <w:pPr>
        <w:spacing w:line="560" w:lineRule="exact"/>
        <w:ind w:firstLine="640" w:firstLineChars="200"/>
        <w:rPr>
          <w:rFonts w:hint="default"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rPr>
        <w:t>以现代农业示范园为载体，强化基地建设，不断调整优化农业产品结构、产业结构和布局结构，促进粮经饲统筹、农林牧渔结合、种养加销一体、</w:t>
      </w:r>
      <w:r>
        <w:rPr>
          <w:rFonts w:hint="eastAsia" w:ascii="Times New Roman" w:hAnsi="Times New Roman" w:eastAsia="仿宋_GB2312" w:cs="Times New Roman"/>
          <w:bCs/>
          <w:sz w:val="32"/>
          <w:szCs w:val="32"/>
          <w:lang w:eastAsia="zh-CN"/>
        </w:rPr>
        <w:t>一、二、三产业</w:t>
      </w:r>
      <w:r>
        <w:rPr>
          <w:rFonts w:hint="eastAsia" w:ascii="Times New Roman" w:hAnsi="Times New Roman" w:eastAsia="仿宋_GB2312" w:cs="Times New Roman"/>
          <w:bCs/>
          <w:sz w:val="32"/>
          <w:szCs w:val="32"/>
        </w:rPr>
        <w:t>融合发展，延长产业链，提升价值链。强化质量兴农、品牌强农，推进农业标准化生产、全程化监管，把增加绿色优质农产品放在突出位置，全面提升农产品质量安全水平。</w:t>
      </w:r>
      <w:r>
        <w:rPr>
          <w:rFonts w:hint="eastAsia" w:ascii="Times New Roman" w:hAnsi="Times New Roman" w:eastAsia="仿宋_GB2312" w:cs="Times New Roman"/>
          <w:bCs/>
          <w:sz w:val="32"/>
          <w:szCs w:val="32"/>
          <w:lang w:val="en-US" w:eastAsia="zh-CN"/>
        </w:rPr>
        <w:t>农村居民可支配收入年均保持7%增速，力争2025年达到42500元，2030年达到55500元。</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pStyle w:val="5"/>
              <w:jc w:val="center"/>
              <w:rPr>
                <w:rFonts w:ascii="仿宋_GB2312" w:eastAsia="仿宋_GB2312" w:cs="仿宋_GB2312" w:hAnsiTheme="minorHAnsi"/>
                <w:b/>
                <w:bCs/>
                <w:color w:val="000000"/>
                <w:sz w:val="28"/>
                <w:szCs w:val="28"/>
              </w:rPr>
            </w:pPr>
            <w:r>
              <w:rPr>
                <w:rFonts w:hint="eastAsia" w:ascii="仿宋_GB2312" w:eastAsia="仿宋_GB2312" w:cs="仿宋_GB2312" w:hAnsiTheme="minorHAnsi"/>
                <w:b/>
                <w:bCs/>
                <w:color w:val="000000"/>
                <w:sz w:val="28"/>
                <w:szCs w:val="28"/>
              </w:rPr>
              <w:t>专栏12：现代农业发展指引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5"/>
              <w:ind w:firstLine="482" w:firstLineChars="200"/>
              <w:jc w:val="left"/>
              <w:rPr>
                <w:rStyle w:val="22"/>
                <w:rFonts w:ascii="仿宋" w:hAnsi="仿宋" w:eastAsia="仿宋" w:cs="仿宋"/>
              </w:rPr>
            </w:pPr>
            <w:r>
              <w:rPr>
                <w:rStyle w:val="22"/>
                <w:rFonts w:hint="eastAsia" w:ascii="仿宋" w:hAnsi="仿宋" w:eastAsia="仿宋" w:cs="仿宋"/>
                <w:b/>
                <w:bCs/>
              </w:rPr>
              <w:t>1.现代农业产业园。</w:t>
            </w:r>
            <w:r>
              <w:rPr>
                <w:rStyle w:val="22"/>
                <w:rFonts w:hint="eastAsia" w:ascii="仿宋" w:hAnsi="仿宋" w:eastAsia="仿宋" w:cs="仿宋"/>
              </w:rPr>
              <w:t>围绕主导产业突出、现代要素集聚、设施装备先进、生产方式绿色、辐射带动有力的要求，把握好“姓农、务农、为农、兴农”的现代农业产业园建园宗旨，坚持集聚建园、融合强园、绿色兴园、创新活园，高质量推进王港乡现代农业产业园建设。</w:t>
            </w:r>
          </w:p>
          <w:p>
            <w:pPr>
              <w:pStyle w:val="5"/>
              <w:ind w:firstLine="482" w:firstLineChars="200"/>
              <w:jc w:val="left"/>
              <w:rPr>
                <w:rStyle w:val="22"/>
                <w:rFonts w:hint="eastAsia" w:ascii="仿宋" w:hAnsi="仿宋" w:eastAsia="仿宋" w:cs="仿宋"/>
                <w:lang w:val="en-US" w:eastAsia="zh-CN"/>
              </w:rPr>
            </w:pPr>
            <w:r>
              <w:rPr>
                <w:rStyle w:val="22"/>
                <w:rFonts w:hint="eastAsia" w:ascii="仿宋" w:hAnsi="仿宋" w:eastAsia="仿宋" w:cs="仿宋"/>
                <w:b/>
                <w:bCs/>
              </w:rPr>
              <w:t>2.“一村一品”专业村。</w:t>
            </w:r>
            <w:r>
              <w:rPr>
                <w:rStyle w:val="22"/>
                <w:rFonts w:hint="eastAsia" w:ascii="仿宋" w:hAnsi="仿宋" w:eastAsia="仿宋" w:cs="仿宋"/>
              </w:rPr>
              <w:t>按照县域有特色、乡村有特品的要求，充分发挥区位资源优势和农民主体作用，坚持“典型引路、示范带动、政府引导”的原则，充分调动农民发展“一村一品”的积极性，积极培育优势明显的特色主导产业和主导产品。建设一批“小而精”“特而美”的“一村一品”专业村，创响一批“土字号”“乡字号”特色产品品牌，形成一村带数村、多村连成片的发展格局。到2025年，</w:t>
            </w:r>
            <w:r>
              <w:rPr>
                <w:rStyle w:val="22"/>
                <w:rFonts w:hint="eastAsia" w:ascii="仿宋" w:hAnsi="仿宋" w:eastAsia="仿宋" w:cs="仿宋"/>
                <w:lang w:eastAsia="zh-CN"/>
              </w:rPr>
              <w:t>“</w:t>
            </w:r>
            <w:r>
              <w:rPr>
                <w:rStyle w:val="22"/>
                <w:rFonts w:hint="eastAsia" w:ascii="仿宋" w:hAnsi="仿宋" w:eastAsia="仿宋" w:cs="仿宋"/>
                <w:lang w:val="en-US" w:eastAsia="zh-CN"/>
              </w:rPr>
              <w:t>三品一标</w:t>
            </w:r>
            <w:r>
              <w:rPr>
                <w:rStyle w:val="22"/>
                <w:rFonts w:hint="eastAsia" w:ascii="仿宋" w:hAnsi="仿宋" w:eastAsia="仿宋" w:cs="仿宋"/>
                <w:lang w:eastAsia="zh-CN"/>
              </w:rPr>
              <w:t>”</w:t>
            </w:r>
            <w:r>
              <w:rPr>
                <w:rStyle w:val="22"/>
                <w:rFonts w:hint="eastAsia" w:ascii="仿宋" w:hAnsi="仿宋" w:eastAsia="仿宋" w:cs="仿宋"/>
                <w:lang w:val="en-US" w:eastAsia="zh-CN"/>
              </w:rPr>
              <w:t>认证品种个数达到70个；到2030年达到80个。</w:t>
            </w:r>
          </w:p>
          <w:p>
            <w:pPr>
              <w:pStyle w:val="5"/>
              <w:ind w:firstLine="482" w:firstLineChars="200"/>
              <w:jc w:val="left"/>
              <w:rPr>
                <w:rStyle w:val="22"/>
                <w:rFonts w:ascii="仿宋" w:hAnsi="仿宋" w:eastAsia="仿宋" w:cs="仿宋"/>
              </w:rPr>
            </w:pPr>
            <w:r>
              <w:rPr>
                <w:rStyle w:val="22"/>
                <w:rFonts w:hint="eastAsia" w:ascii="仿宋" w:hAnsi="仿宋" w:eastAsia="仿宋" w:cs="仿宋"/>
                <w:b/>
                <w:bCs/>
              </w:rPr>
              <w:t>3.茶叶。</w:t>
            </w:r>
            <w:r>
              <w:rPr>
                <w:rStyle w:val="22"/>
                <w:rFonts w:hint="eastAsia" w:ascii="仿宋" w:hAnsi="仿宋" w:eastAsia="仿宋" w:cs="仿宋"/>
              </w:rPr>
              <w:t>以浮梁茶文化系统入围第六批中国重要农业文化遗产为契机，强化浮梁茶文化系统生态与文化景观保护，弘扬传承浮梁茶文化，推动浮梁茶产业可持续发展和产业功能拓展。搭建“瓷茶同辉”浮梁特色茶文化平台，建设瓷茶博物馆和瓷茶文化体验园，打造茶演艺项目。组织“国际茶日浮梁茶”系列活动，办好浮梁国际茶博会和行业论坛，提升浮梁茶的行业话语权。探索设立“一品茶生活”研究中心、浮梁古茶树研究院、景德镇瓷茶文化研究院，围绕茶文化、茶文旅、茶文创、茶健康开展研究，打造浮梁茶文化IP，推动产业、生态、文化和社会多元价值实现。加强先行区域内茶产业地核心产区生态建设，积极发展富硒有机茶、功夫红茶。</w:t>
            </w:r>
          </w:p>
          <w:p>
            <w:pPr>
              <w:pStyle w:val="5"/>
              <w:ind w:firstLine="482" w:firstLineChars="200"/>
              <w:jc w:val="left"/>
              <w:rPr>
                <w:rStyle w:val="22"/>
                <w:rFonts w:ascii="仿宋" w:hAnsi="仿宋" w:eastAsia="仿宋" w:cs="仿宋"/>
              </w:rPr>
            </w:pPr>
            <w:r>
              <w:rPr>
                <w:rStyle w:val="22"/>
                <w:rFonts w:hint="eastAsia" w:ascii="仿宋" w:hAnsi="仿宋" w:eastAsia="仿宋" w:cs="仿宋"/>
                <w:b/>
                <w:bCs/>
              </w:rPr>
              <w:t>4.林下经济。</w:t>
            </w:r>
            <w:r>
              <w:rPr>
                <w:rStyle w:val="22"/>
                <w:rFonts w:hint="eastAsia" w:ascii="仿宋" w:hAnsi="仿宋" w:eastAsia="仿宋" w:cs="仿宋"/>
              </w:rPr>
              <w:t>开发和利用好森林资源中非林木资源，以林地资源和森林生态环境为依托，大力发展林下种植业、养殖业、采集业和森林旅游业，涵盖林下、林中、林上等产业；充分利用林下土地资源和空间环境条件，建设林下种植、养殖和森林景观利用相结合的立体林业经营模式，不断提高林地利用率和林业综合经济效率；大力推进碳汇林建设，推动林业产业多元化发展。转变林业经济增长方式、延伸林业产业链、实现林业经营良性循环，增强林业自身持续发展能力，成为带动区域经济发展和农民增收的新的增长点。利用浮梁野生中药材资源丰富的优势，推动粉防杞、海金砂、大活血、台乌、黄精、百部、灵芝、前胡、桔梗、七叶一支花、玉竹等道地药材林下种植。</w:t>
            </w:r>
          </w:p>
          <w:p>
            <w:pPr>
              <w:pStyle w:val="5"/>
              <w:ind w:firstLine="482" w:firstLineChars="200"/>
              <w:jc w:val="left"/>
              <w:rPr>
                <w:rStyle w:val="22"/>
                <w:rFonts w:ascii="仿宋" w:hAnsi="仿宋" w:eastAsia="仿宋" w:cs="仿宋"/>
              </w:rPr>
            </w:pPr>
            <w:r>
              <w:rPr>
                <w:rStyle w:val="22"/>
                <w:rFonts w:hint="eastAsia" w:ascii="仿宋" w:hAnsi="仿宋" w:eastAsia="仿宋" w:cs="仿宋"/>
                <w:b/>
                <w:bCs/>
              </w:rPr>
              <w:t>5.现代种植业。</w:t>
            </w:r>
            <w:r>
              <w:rPr>
                <w:rStyle w:val="22"/>
                <w:rFonts w:hint="eastAsia" w:ascii="仿宋" w:hAnsi="仿宋" w:eastAsia="仿宋" w:cs="仿宋"/>
              </w:rPr>
              <w:t>实施“优质稻米工程”，以发展优质稻为抓手，推广超级稻、再生稻、优质稻等高产高效栽培新技术，提升粮食单产，打响“寿安大米”等品牌。支持现代智慧农业产业园、绿色有机食品加工园建设，积极发展特色果蔬产业、有机农业，重点培育王港杨梅园等农业生产园及其特色农产品体系。</w:t>
            </w:r>
          </w:p>
          <w:p>
            <w:pPr>
              <w:pStyle w:val="5"/>
              <w:ind w:firstLine="482" w:firstLineChars="200"/>
              <w:jc w:val="left"/>
              <w:rPr>
                <w:rStyle w:val="22"/>
                <w:rFonts w:ascii="仿宋" w:hAnsi="仿宋" w:eastAsia="仿宋" w:cs="仿宋"/>
              </w:rPr>
            </w:pPr>
            <w:r>
              <w:rPr>
                <w:rStyle w:val="22"/>
                <w:rFonts w:hint="eastAsia" w:ascii="仿宋" w:hAnsi="仿宋" w:eastAsia="仿宋" w:cs="仿宋"/>
                <w:b/>
                <w:bCs/>
              </w:rPr>
              <w:t>6.畜牧业。</w:t>
            </w:r>
            <w:r>
              <w:rPr>
                <w:rStyle w:val="22"/>
                <w:rFonts w:hint="eastAsia" w:ascii="仿宋" w:hAnsi="仿宋" w:eastAsia="仿宋" w:cs="仿宋"/>
              </w:rPr>
              <w:t>实施分类分区指导，发挥资源、技术、市场和区位等优势，进一步提升三龙镇、王港乡、湘湖镇生猪规模，寿安镇肉牛规模，三龙镇、王港乡、湘湖镇等家禽养殖，切实保障全市、全县畜禽产品市场供应。</w:t>
            </w:r>
          </w:p>
          <w:p>
            <w:pPr>
              <w:pStyle w:val="5"/>
              <w:ind w:firstLine="482" w:firstLineChars="200"/>
              <w:jc w:val="left"/>
              <w:rPr>
                <w:rStyle w:val="22"/>
                <w:rFonts w:ascii="仿宋" w:hAnsi="仿宋" w:eastAsia="仿宋" w:cs="仿宋"/>
                <w:sz w:val="32"/>
                <w:szCs w:val="32"/>
              </w:rPr>
            </w:pPr>
            <w:r>
              <w:rPr>
                <w:rStyle w:val="22"/>
                <w:rFonts w:hint="eastAsia" w:ascii="仿宋" w:hAnsi="仿宋" w:eastAsia="仿宋" w:cs="仿宋"/>
                <w:b/>
                <w:bCs/>
              </w:rPr>
              <w:t>7.特色农产品加工。</w:t>
            </w:r>
            <w:r>
              <w:rPr>
                <w:rStyle w:val="22"/>
                <w:rFonts w:hint="eastAsia" w:ascii="仿宋" w:hAnsi="仿宋" w:eastAsia="仿宋" w:cs="仿宋"/>
              </w:rPr>
              <w:t>围绕蔬菜、水果、茶叶、粮食等生产基地，支持各类农业企业、农民合作社、家庭农场、种植大户等新型农业经营主体新建和改造王港乡墩口村等30个以上农产品产地初加工中心。以家畜屠宰、畜禽肉品加工为重点，补齐家畜屠宰加工深加工等产业链关键环节和发展短板，推进特色畜产品加工。充分利用湘湖、王港毛竹生产优势，大力发展竹、笋深加工。充分挖掘“北安”碱水粑历史、文化的内涵，支持“北安碱水粑”品牌建设，发展碱水粑经济。</w:t>
            </w:r>
          </w:p>
        </w:tc>
      </w:tr>
    </w:tbl>
    <w:p>
      <w:pPr>
        <w:pStyle w:val="7"/>
        <w:rPr>
          <w:rFonts w:hint="default"/>
          <w:lang w:eastAsia="zh-CN"/>
        </w:rPr>
      </w:pPr>
      <w:r>
        <w:rPr>
          <w:lang w:eastAsia="zh-CN"/>
        </w:rPr>
        <w:br w:type="page"/>
      </w:r>
    </w:p>
    <w:p>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43" w:name="_Toc2678"/>
      <w:r>
        <w:rPr>
          <w:rFonts w:hint="eastAsia" w:ascii="Times New Roman" w:hAnsi="Times New Roman" w:eastAsia="黑体" w:cs="Times New Roman"/>
          <w:sz w:val="36"/>
          <w:szCs w:val="36"/>
        </w:rPr>
        <w:t>第四章  主要行动</w:t>
      </w:r>
      <w:bookmarkEnd w:id="43"/>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牢固树立“产业强区”和“重中之重抓产业”的理念，围绕打造产业创新发展引领区的目标，紧盯“产业、园区、企业”三个层级，深入实施补链强链、创新驱动、企业育强培优、质量品牌提升、绿色发展、人才服务和精准招商等行动，全面推进产业强区。</w:t>
      </w: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4" w:name="_Toc11880"/>
      <w:r>
        <w:rPr>
          <w:rFonts w:hint="eastAsia" w:ascii="Times New Roman" w:hAnsi="Times New Roman" w:eastAsia="黑体" w:cs="Times New Roman"/>
          <w:sz w:val="32"/>
          <w:szCs w:val="32"/>
        </w:rPr>
        <w:t xml:space="preserve">第一节 </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实施产业生态</w:t>
      </w:r>
      <w:r>
        <w:rPr>
          <w:rFonts w:hint="eastAsia" w:ascii="Times New Roman" w:hAnsi="Times New Roman" w:eastAsia="黑体" w:cs="Times New Roman"/>
          <w:sz w:val="32"/>
          <w:szCs w:val="32"/>
          <w:lang w:val="en-US" w:eastAsia="zh-CN"/>
        </w:rPr>
        <w:t>塑造</w:t>
      </w:r>
      <w:r>
        <w:rPr>
          <w:rFonts w:hint="eastAsia" w:ascii="Times New Roman" w:hAnsi="Times New Roman" w:eastAsia="黑体" w:cs="Times New Roman"/>
          <w:sz w:val="32"/>
          <w:szCs w:val="32"/>
        </w:rPr>
        <w:t>行动</w:t>
      </w:r>
      <w:bookmarkEnd w:id="44"/>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立足浮梁县产业基础和区位优势，夯实产业基础，提升产业链现代化水平，培育壮大先进制造业，塑造持续创新型产业生态。提升产业基础能力，在补短板上下功夫，抓住长三角一体化发展机遇，对接苏浙沪优势要素资源，大力引进现代陶瓷、新材料、电子信息、通用航空等产业链企业，进一步完善先行区现代工业结构。注重协同配套延链，推广“龙头+配套”“平台+合作”模式，大力实施大中小企业融通发展计划，打造一批融通发展典型企业，形成上下游产品有机连接、大中小企业分工协作的高质量全链条产业发展新模式。</w:t>
      </w:r>
    </w:p>
    <w:p>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一、优化产业空间布局</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围绕打造全省生态工业高地和特色产业基地的战略目标，根据《景德镇市城市总体规划（2012—2030）》，浮梁县工业空间布局现状、产业集聚程度和发展潜力，</w:t>
      </w:r>
      <w:r>
        <w:rPr>
          <w:rFonts w:hint="eastAsia" w:ascii="Times New Roman" w:hAnsi="Times New Roman" w:eastAsia="仿宋_GB2312" w:cs="Times New Roman"/>
          <w:bCs/>
          <w:sz w:val="32"/>
          <w:szCs w:val="32"/>
        </w:rPr>
        <w:t>新平先行区</w:t>
      </w:r>
      <w:r>
        <w:rPr>
          <w:rFonts w:ascii="Times New Roman" w:hAnsi="Times New Roman" w:eastAsia="仿宋_GB2312" w:cs="Times New Roman"/>
          <w:bCs/>
          <w:sz w:val="32"/>
          <w:szCs w:val="32"/>
        </w:rPr>
        <w:t>着力构筑</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一园</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一基地</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的工业空间格局。</w:t>
      </w:r>
    </w:p>
    <w:p>
      <w:pPr>
        <w:spacing w:line="560" w:lineRule="exact"/>
        <w:ind w:firstLine="643" w:firstLineChars="200"/>
        <w:rPr>
          <w:rFonts w:ascii="Times New Roman" w:hAnsi="Times New Roman" w:eastAsia="仿宋_GB2312" w:cs="Times New Roman"/>
          <w:b/>
          <w:bCs w:val="0"/>
          <w:sz w:val="32"/>
          <w:szCs w:val="32"/>
        </w:rPr>
      </w:pPr>
    </w:p>
    <w:p>
      <w:pPr>
        <w:spacing w:line="560" w:lineRule="exact"/>
        <w:ind w:firstLine="643" w:firstLineChars="200"/>
        <w:rPr>
          <w:rFonts w:ascii="Times New Roman" w:hAnsi="Times New Roman" w:eastAsia="仿宋_GB2312" w:cs="Times New Roman"/>
          <w:b/>
          <w:bCs w:val="0"/>
          <w:sz w:val="32"/>
          <w:szCs w:val="32"/>
        </w:rPr>
      </w:pPr>
    </w:p>
    <w:p>
      <w:pPr>
        <w:spacing w:line="560" w:lineRule="exact"/>
        <w:ind w:firstLine="643" w:firstLineChars="200"/>
        <w:rPr>
          <w:rFonts w:ascii="Times New Roman" w:hAnsi="Times New Roman" w:eastAsia="仿宋_GB2312" w:cs="Times New Roman"/>
          <w:b/>
          <w:bCs w:val="0"/>
          <w:sz w:val="32"/>
          <w:szCs w:val="32"/>
        </w:rPr>
      </w:pPr>
    </w:p>
    <w:p>
      <w:pPr>
        <w:spacing w:line="240" w:lineRule="auto"/>
        <w:rPr>
          <w:rFonts w:hint="eastAsia" w:ascii="Times New Roman" w:hAnsi="Times New Roman" w:eastAsia="仿宋_GB2312" w:cs="Times New Roman"/>
          <w:b/>
          <w:bCs w:val="0"/>
          <w:sz w:val="32"/>
          <w:szCs w:val="32"/>
          <w:lang w:eastAsia="zh-CN"/>
        </w:rPr>
      </w:pPr>
      <w:r>
        <w:rPr>
          <w:rFonts w:hint="eastAsia" w:ascii="Times New Roman" w:hAnsi="Times New Roman" w:eastAsia="仿宋_GB2312" w:cs="Times New Roman"/>
          <w:b/>
          <w:bCs w:val="0"/>
          <w:sz w:val="32"/>
          <w:szCs w:val="32"/>
          <w:lang w:eastAsia="zh-CN"/>
        </w:rPr>
        <w:drawing>
          <wp:anchor distT="0" distB="0" distL="114300" distR="114300" simplePos="0" relativeHeight="251662336" behindDoc="0" locked="0" layoutInCell="1" allowOverlap="1">
            <wp:simplePos x="0" y="0"/>
            <wp:positionH relativeFrom="column">
              <wp:posOffset>213995</wp:posOffset>
            </wp:positionH>
            <wp:positionV relativeFrom="paragraph">
              <wp:posOffset>13335</wp:posOffset>
            </wp:positionV>
            <wp:extent cx="5019675" cy="3554095"/>
            <wp:effectExtent l="0" t="0" r="9525" b="8255"/>
            <wp:wrapNone/>
            <wp:docPr id="17" name="图片 17" descr="C:\Users\Administrator\Desktop\新平先行区示意思.jpg新平先行区示意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Administrator\Desktop\新平先行区示意思.jpg新平先行区示意思"/>
                    <pic:cNvPicPr>
                      <a:picLocks noChangeAspect="1"/>
                    </pic:cNvPicPr>
                  </pic:nvPicPr>
                  <pic:blipFill>
                    <a:blip r:embed="rId18"/>
                    <a:srcRect/>
                    <a:stretch>
                      <a:fillRect/>
                    </a:stretch>
                  </pic:blipFill>
                  <pic:spPr>
                    <a:xfrm>
                      <a:off x="0" y="0"/>
                      <a:ext cx="5019675" cy="3554095"/>
                    </a:xfrm>
                    <a:prstGeom prst="rect">
                      <a:avLst/>
                    </a:prstGeom>
                  </pic:spPr>
                </pic:pic>
              </a:graphicData>
            </a:graphic>
          </wp:anchor>
        </w:drawing>
      </w:r>
    </w:p>
    <w:p>
      <w:pPr>
        <w:spacing w:line="240" w:lineRule="auto"/>
        <w:rPr>
          <w:rFonts w:hint="eastAsia" w:ascii="Times New Roman" w:hAnsi="Times New Roman" w:eastAsia="仿宋_GB2312" w:cs="Times New Roman"/>
          <w:b/>
          <w:bCs w:val="0"/>
          <w:sz w:val="32"/>
          <w:szCs w:val="32"/>
          <w:lang w:eastAsia="zh-CN"/>
        </w:rPr>
      </w:pPr>
    </w:p>
    <w:p>
      <w:pPr>
        <w:spacing w:line="240" w:lineRule="auto"/>
        <w:rPr>
          <w:rFonts w:hint="eastAsia" w:ascii="Times New Roman" w:hAnsi="Times New Roman" w:eastAsia="仿宋_GB2312" w:cs="Times New Roman"/>
          <w:b/>
          <w:bCs w:val="0"/>
          <w:sz w:val="32"/>
          <w:szCs w:val="32"/>
          <w:lang w:eastAsia="zh-CN"/>
        </w:rPr>
      </w:pPr>
    </w:p>
    <w:p>
      <w:pPr>
        <w:spacing w:line="240" w:lineRule="auto"/>
        <w:rPr>
          <w:rFonts w:hint="eastAsia" w:ascii="Times New Roman" w:hAnsi="Times New Roman" w:eastAsia="仿宋_GB2312" w:cs="Times New Roman"/>
          <w:b/>
          <w:bCs w:val="0"/>
          <w:sz w:val="32"/>
          <w:szCs w:val="32"/>
          <w:lang w:eastAsia="zh-CN"/>
        </w:rPr>
      </w:pPr>
    </w:p>
    <w:p>
      <w:pPr>
        <w:pStyle w:val="8"/>
        <w:ind w:left="0" w:leftChars="0" w:firstLine="0" w:firstLineChars="0"/>
        <w:rPr>
          <w:rFonts w:hint="eastAsia"/>
          <w:lang w:eastAsia="zh-CN"/>
        </w:rPr>
      </w:pPr>
    </w:p>
    <w:p>
      <w:pPr>
        <w:spacing w:line="240" w:lineRule="auto"/>
        <w:rPr>
          <w:rFonts w:hint="eastAsia" w:ascii="Times New Roman" w:hAnsi="Times New Roman" w:eastAsia="仿宋_GB2312" w:cs="Times New Roman"/>
          <w:b/>
          <w:bCs w:val="0"/>
          <w:sz w:val="32"/>
          <w:szCs w:val="32"/>
          <w:lang w:eastAsia="zh-CN"/>
        </w:rPr>
      </w:pPr>
    </w:p>
    <w:p>
      <w:pPr>
        <w:spacing w:line="240" w:lineRule="auto"/>
        <w:rPr>
          <w:rFonts w:hint="eastAsia" w:ascii="Times New Roman" w:hAnsi="Times New Roman" w:eastAsia="仿宋_GB2312" w:cs="Times New Roman"/>
          <w:b/>
          <w:bCs w:val="0"/>
          <w:sz w:val="32"/>
          <w:szCs w:val="32"/>
          <w:lang w:eastAsia="zh-CN"/>
        </w:rPr>
      </w:pPr>
    </w:p>
    <w:p>
      <w:pPr>
        <w:spacing w:line="240" w:lineRule="auto"/>
        <w:rPr>
          <w:rFonts w:hint="eastAsia" w:ascii="Times New Roman" w:hAnsi="Times New Roman" w:eastAsia="仿宋_GB2312" w:cs="Times New Roman"/>
          <w:b/>
          <w:bCs w:val="0"/>
          <w:sz w:val="32"/>
          <w:szCs w:val="32"/>
          <w:lang w:eastAsia="zh-CN"/>
        </w:rPr>
      </w:pPr>
    </w:p>
    <w:p>
      <w:pPr>
        <w:spacing w:line="240" w:lineRule="auto"/>
        <w:rPr>
          <w:rFonts w:hint="eastAsia" w:ascii="Times New Roman" w:hAnsi="Times New Roman" w:eastAsia="仿宋_GB2312" w:cs="Times New Roman"/>
          <w:b/>
          <w:bCs w:val="0"/>
          <w:sz w:val="32"/>
          <w:szCs w:val="32"/>
          <w:lang w:eastAsia="zh-CN"/>
        </w:rPr>
      </w:pPr>
    </w:p>
    <w:p>
      <w:pPr>
        <w:spacing w:line="560" w:lineRule="exact"/>
        <w:ind w:firstLine="560" w:firstLineChars="200"/>
        <w:jc w:val="center"/>
        <w:rPr>
          <w:rFonts w:hint="default" w:ascii="Times New Roman" w:hAnsi="Times New Roman" w:eastAsia="仿宋_GB2312" w:cs="Times New Roman"/>
          <w:b/>
          <w:bCs w:val="0"/>
          <w:sz w:val="32"/>
          <w:szCs w:val="32"/>
          <w:lang w:val="en-US" w:eastAsia="zh-CN"/>
        </w:rPr>
      </w:pPr>
      <w:r>
        <w:rPr>
          <w:rFonts w:hint="eastAsia" w:ascii="仿宋" w:hAnsi="仿宋" w:eastAsia="仿宋" w:cs="仿宋"/>
          <w:sz w:val="28"/>
          <w:szCs w:val="28"/>
          <w:lang w:val="en-US" w:eastAsia="zh-CN"/>
        </w:rPr>
        <w:t>图3：新平先行区工业产业布局图</w:t>
      </w:r>
    </w:p>
    <w:p>
      <w:pPr>
        <w:spacing w:line="560" w:lineRule="exact"/>
        <w:ind w:firstLine="643" w:firstLineChars="200"/>
        <w:rPr>
          <w:rFonts w:hint="default" w:ascii="Times New Roman" w:hAnsi="Times New Roman" w:eastAsia="仿宋_GB2312" w:cs="Times New Roman"/>
          <w:b/>
          <w:bCs w:val="0"/>
          <w:sz w:val="32"/>
          <w:szCs w:val="32"/>
          <w:lang w:val="en-US" w:eastAsia="zh-CN"/>
        </w:rPr>
      </w:pPr>
      <w:r>
        <w:rPr>
          <w:rFonts w:ascii="Times New Roman" w:hAnsi="Times New Roman" w:eastAsia="仿宋_GB2312" w:cs="Times New Roman"/>
          <w:b/>
          <w:bCs w:val="0"/>
          <w:sz w:val="32"/>
          <w:szCs w:val="32"/>
        </w:rPr>
        <w:t>（一）</w:t>
      </w:r>
      <w:r>
        <w:rPr>
          <w:rFonts w:hint="eastAsia" w:ascii="Times New Roman" w:hAnsi="Times New Roman" w:eastAsia="仿宋_GB2312" w:cs="Times New Roman"/>
          <w:b/>
          <w:bCs w:val="0"/>
          <w:sz w:val="32"/>
          <w:szCs w:val="32"/>
          <w:lang w:val="en-US" w:eastAsia="zh-CN"/>
        </w:rPr>
        <w:t>浮梁产业园</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浮梁产业园是</w:t>
      </w:r>
      <w:r>
        <w:rPr>
          <w:rFonts w:ascii="Times New Roman" w:hAnsi="Times New Roman" w:eastAsia="仿宋_GB2312" w:cs="Times New Roman"/>
          <w:bCs/>
          <w:sz w:val="32"/>
          <w:szCs w:val="32"/>
        </w:rPr>
        <w:t>浮梁县</w:t>
      </w:r>
      <w:r>
        <w:rPr>
          <w:rFonts w:hint="eastAsia" w:ascii="Times New Roman" w:hAnsi="Times New Roman" w:eastAsia="仿宋_GB2312" w:cs="Times New Roman"/>
          <w:bCs/>
          <w:sz w:val="32"/>
          <w:szCs w:val="32"/>
          <w:lang w:val="en-US" w:eastAsia="zh-CN"/>
        </w:rPr>
        <w:t>唯一</w:t>
      </w:r>
      <w:r>
        <w:rPr>
          <w:rFonts w:ascii="Times New Roman" w:hAnsi="Times New Roman" w:eastAsia="仿宋_GB2312" w:cs="Times New Roman"/>
          <w:bCs/>
          <w:sz w:val="32"/>
          <w:szCs w:val="32"/>
        </w:rPr>
        <w:t>省级产业园区</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其</w:t>
      </w:r>
      <w:r>
        <w:rPr>
          <w:rFonts w:hint="eastAsia" w:ascii="Times New Roman" w:hAnsi="Times New Roman" w:eastAsia="仿宋_GB2312" w:cs="Times New Roman"/>
          <w:bCs/>
          <w:sz w:val="32"/>
          <w:szCs w:val="32"/>
        </w:rPr>
        <w:t>总体</w:t>
      </w:r>
      <w:r>
        <w:rPr>
          <w:rFonts w:ascii="Times New Roman" w:hAnsi="Times New Roman" w:eastAsia="仿宋_GB2312" w:cs="Times New Roman"/>
          <w:bCs/>
          <w:sz w:val="32"/>
          <w:szCs w:val="32"/>
        </w:rPr>
        <w:t>定位</w:t>
      </w:r>
      <w:r>
        <w:rPr>
          <w:rFonts w:hint="eastAsia" w:ascii="Times New Roman" w:hAnsi="Times New Roman" w:eastAsia="仿宋_GB2312" w:cs="Times New Roman"/>
          <w:bCs/>
          <w:sz w:val="32"/>
          <w:szCs w:val="32"/>
          <w:lang w:val="en-US" w:eastAsia="zh-CN"/>
        </w:rPr>
        <w:t>是</w:t>
      </w:r>
      <w:r>
        <w:rPr>
          <w:rFonts w:ascii="Times New Roman" w:hAnsi="Times New Roman" w:eastAsia="仿宋_GB2312" w:cs="Times New Roman"/>
          <w:bCs/>
          <w:sz w:val="32"/>
          <w:szCs w:val="32"/>
        </w:rPr>
        <w:t>：以发展</w:t>
      </w:r>
      <w:r>
        <w:rPr>
          <w:rFonts w:hint="eastAsia" w:ascii="Times New Roman" w:hAnsi="Times New Roman" w:eastAsia="仿宋_GB2312" w:cs="Times New Roman"/>
          <w:bCs/>
          <w:sz w:val="32"/>
          <w:szCs w:val="32"/>
          <w:lang w:val="en-US" w:eastAsia="zh-CN"/>
        </w:rPr>
        <w:t>现代陶瓷</w:t>
      </w:r>
      <w:r>
        <w:rPr>
          <w:rFonts w:ascii="Times New Roman" w:hAnsi="Times New Roman" w:eastAsia="仿宋_GB2312" w:cs="Times New Roman"/>
          <w:bCs/>
          <w:sz w:val="32"/>
          <w:szCs w:val="32"/>
        </w:rPr>
        <w:t>（包括先进陶瓷、陶瓷新材料等）、电子信息产业为主，以金属制品、汽车零部件为补充</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是</w:t>
      </w:r>
      <w:r>
        <w:rPr>
          <w:rFonts w:ascii="Times New Roman" w:hAnsi="Times New Roman" w:eastAsia="仿宋_GB2312" w:cs="Times New Roman"/>
          <w:bCs/>
          <w:sz w:val="32"/>
          <w:szCs w:val="32"/>
        </w:rPr>
        <w:t>赣东北区域重要的现代化综合产业园区之一。</w:t>
      </w:r>
      <w:r>
        <w:rPr>
          <w:rFonts w:hint="eastAsia" w:ascii="Times New Roman" w:hAnsi="Times New Roman" w:eastAsia="仿宋_GB2312" w:cs="Times New Roman"/>
          <w:bCs/>
          <w:sz w:val="32"/>
          <w:szCs w:val="32"/>
          <w:lang w:val="en-US" w:eastAsia="zh-CN"/>
        </w:rPr>
        <w:t>按照以上定位，</w:t>
      </w:r>
      <w:r>
        <w:rPr>
          <w:rFonts w:ascii="Times New Roman" w:hAnsi="Times New Roman" w:eastAsia="仿宋_GB2312" w:cs="Times New Roman"/>
          <w:bCs/>
          <w:sz w:val="32"/>
          <w:szCs w:val="32"/>
        </w:rPr>
        <w:t>浮梁产业园按照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一园</w:t>
      </w:r>
      <w:r>
        <w:rPr>
          <w:rFonts w:hint="eastAsia" w:ascii="Times New Roman" w:hAnsi="Times New Roman" w:eastAsia="仿宋_GB2312" w:cs="Times New Roman"/>
          <w:bCs/>
          <w:sz w:val="32"/>
          <w:szCs w:val="32"/>
        </w:rPr>
        <w:t>两区</w:t>
      </w:r>
      <w:r>
        <w:rPr>
          <w:rFonts w:hint="eastAsia" w:ascii="Times New Roman" w:hAnsi="Times New Roman" w:eastAsia="仿宋_GB2312" w:cs="Times New Roman"/>
          <w:bCs/>
          <w:sz w:val="32"/>
          <w:szCs w:val="32"/>
          <w:lang w:val="en-US" w:eastAsia="zh-CN"/>
        </w:rPr>
        <w:t>一基地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的模式进行规划，建设由三龙</w:t>
      </w:r>
      <w:r>
        <w:rPr>
          <w:rFonts w:hint="eastAsia" w:ascii="Times New Roman" w:hAnsi="Times New Roman" w:eastAsia="仿宋_GB2312" w:cs="Times New Roman"/>
          <w:bCs/>
          <w:sz w:val="32"/>
          <w:szCs w:val="32"/>
          <w:lang w:val="en-US" w:eastAsia="zh-CN"/>
        </w:rPr>
        <w:t>产业园</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北汽配套园、</w:t>
      </w:r>
      <w:r>
        <w:rPr>
          <w:rFonts w:ascii="Times New Roman" w:hAnsi="Times New Roman" w:eastAsia="仿宋_GB2312" w:cs="Times New Roman"/>
          <w:bCs/>
          <w:sz w:val="32"/>
          <w:szCs w:val="32"/>
        </w:rPr>
        <w:t>湘湖</w:t>
      </w:r>
      <w:r>
        <w:rPr>
          <w:rFonts w:hint="eastAsia" w:ascii="Times New Roman" w:hAnsi="Times New Roman" w:eastAsia="仿宋_GB2312" w:cs="Times New Roman"/>
          <w:bCs/>
          <w:sz w:val="32"/>
          <w:szCs w:val="32"/>
          <w:lang w:val="en-US" w:eastAsia="zh-CN"/>
        </w:rPr>
        <w:t>产业园</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以晴产教融合基地</w:t>
      </w:r>
      <w:r>
        <w:rPr>
          <w:rFonts w:ascii="Times New Roman" w:hAnsi="Times New Roman" w:eastAsia="仿宋_GB2312" w:cs="Times New Roman"/>
          <w:bCs/>
          <w:sz w:val="32"/>
          <w:szCs w:val="32"/>
        </w:rPr>
        <w:t>共同构成</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bCs/>
          <w:sz w:val="32"/>
          <w:szCs w:val="32"/>
          <w:lang w:val="en-US" w:eastAsia="zh-CN"/>
        </w:rPr>
        <w:t>三园一基地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t>
      </w:r>
    </w:p>
    <w:p>
      <w:pPr>
        <w:pStyle w:val="7"/>
        <w:ind w:left="0" w:leftChars="0" w:firstLine="643" w:firstLineChars="200"/>
        <w:rPr>
          <w:rFonts w:hint="eastAsia" w:ascii="Times New Roman" w:hAnsi="Times New Roman" w:eastAsia="仿宋_GB2312" w:cs="Times New Roman"/>
          <w:bCs/>
          <w:kern w:val="2"/>
          <w:sz w:val="32"/>
          <w:szCs w:val="32"/>
          <w:lang w:val="en-US" w:eastAsia="zh-CN" w:bidi="ar-SA"/>
        </w:rPr>
      </w:pPr>
      <w:r>
        <w:rPr>
          <w:rFonts w:ascii="Times New Roman" w:hAnsi="Times New Roman" w:eastAsia="仿宋_GB2312" w:cs="Times New Roman"/>
          <w:b/>
          <w:bCs w:val="0"/>
          <w:kern w:val="2"/>
          <w:sz w:val="32"/>
          <w:szCs w:val="32"/>
          <w:lang w:val="en-US" w:eastAsia="zh-CN" w:bidi="ar-SA"/>
        </w:rPr>
        <w:t>——</w:t>
      </w:r>
      <w:r>
        <w:rPr>
          <w:rFonts w:hint="eastAsia" w:ascii="Times New Roman" w:hAnsi="Times New Roman" w:eastAsia="仿宋_GB2312" w:cs="Times New Roman"/>
          <w:b/>
          <w:bCs w:val="0"/>
          <w:kern w:val="2"/>
          <w:sz w:val="32"/>
          <w:szCs w:val="32"/>
          <w:lang w:val="en-US" w:eastAsia="zh-CN" w:bidi="ar-SA"/>
        </w:rPr>
        <w:t>三龙产业园。</w:t>
      </w:r>
      <w:r>
        <w:rPr>
          <w:rFonts w:hint="eastAsia" w:ascii="Times New Roman" w:hAnsi="Times New Roman" w:eastAsia="仿宋_GB2312" w:cs="Times New Roman"/>
          <w:bCs/>
          <w:kern w:val="2"/>
          <w:sz w:val="32"/>
          <w:szCs w:val="32"/>
          <w:lang w:val="en-US" w:eastAsia="zh-CN" w:bidi="ar-SA"/>
        </w:rPr>
        <w:t>东至黄家棚村、国道 206 线东侧、南至规划国道G351 线、西至银坑岗-虎山、北至规划奋进路-建陶一路。重点打造氧化铝粉体研发中心为支撑的新能源陶瓷、以齿科氧化锆陶瓷为代表的生物陶瓷、以发泡陶瓷项目为重点的环保陶瓷等三大先进陶瓷产业，改造传统建筑陶瓷生产工艺，逐步走向智能制造。</w:t>
      </w:r>
    </w:p>
    <w:p>
      <w:pPr>
        <w:pStyle w:val="7"/>
        <w:ind w:left="0" w:leftChars="0"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——北汽配套园。</w:t>
      </w:r>
      <w:r>
        <w:rPr>
          <w:rFonts w:hint="eastAsia" w:ascii="Times New Roman" w:hAnsi="Times New Roman" w:eastAsia="仿宋_GB2312" w:cs="Times New Roman"/>
          <w:bCs/>
          <w:kern w:val="2"/>
          <w:sz w:val="32"/>
          <w:szCs w:val="32"/>
          <w:lang w:val="en-US" w:eastAsia="zh-CN" w:bidi="ar-SA"/>
        </w:rPr>
        <w:t>东至规划经五路、南至纬五路-景湖公路、西至荞麦湾水库、北至规划纬一路。重点打造以智能制造为特色的新型汽车配套产业为主，物流产业、配套新材料为辅。</w:t>
      </w:r>
    </w:p>
    <w:p>
      <w:pPr>
        <w:pStyle w:val="7"/>
        <w:ind w:left="0" w:leftChars="0"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——湘湖产业园。</w:t>
      </w:r>
      <w:r>
        <w:rPr>
          <w:rFonts w:hint="eastAsia" w:ascii="Times New Roman" w:hAnsi="Times New Roman" w:eastAsia="仿宋_GB2312" w:cs="Times New Roman"/>
          <w:bCs/>
          <w:kern w:val="2"/>
          <w:sz w:val="32"/>
          <w:szCs w:val="32"/>
          <w:lang w:val="en-US" w:eastAsia="zh-CN" w:bidi="ar-SA"/>
        </w:rPr>
        <w:t>东至南河（双凤桥段）、南至南河（陈家畈村段）、西至南河（镇区段）、北至七四〇厂。重点打造以新能源用氧化铝陶瓷产业集群为主的先进陶瓷，金属制品锻造为主为辅。</w:t>
      </w:r>
    </w:p>
    <w:p>
      <w:pPr>
        <w:pStyle w:val="7"/>
        <w:ind w:left="0" w:leftChars="0" w:firstLine="643" w:firstLineChars="200"/>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
          <w:bCs w:val="0"/>
          <w:kern w:val="2"/>
          <w:sz w:val="32"/>
          <w:szCs w:val="32"/>
          <w:lang w:val="en-US" w:eastAsia="zh-CN" w:bidi="ar-SA"/>
        </w:rPr>
        <w:t>——以晴产教融合基地。</w:t>
      </w:r>
      <w:r>
        <w:rPr>
          <w:rFonts w:hint="eastAsia" w:ascii="Times New Roman" w:hAnsi="Times New Roman" w:eastAsia="仿宋_GB2312" w:cs="Times New Roman"/>
          <w:bCs/>
          <w:kern w:val="2"/>
          <w:sz w:val="32"/>
          <w:szCs w:val="32"/>
          <w:lang w:val="en-US" w:eastAsia="zh-CN" w:bidi="ar-SA"/>
        </w:rPr>
        <w:t>东至三大路、南至杭瑞高速、西至冷水坞水库、北至爱国路。重点打造电子信息产业。</w:t>
      </w:r>
    </w:p>
    <w:p>
      <w:pPr>
        <w:spacing w:line="560" w:lineRule="exact"/>
        <w:ind w:firstLine="643" w:firstLineChars="200"/>
        <w:rPr>
          <w:rFonts w:ascii="Times New Roman" w:hAnsi="Times New Roman" w:eastAsia="仿宋_GB2312" w:cs="Times New Roman"/>
          <w:b/>
          <w:bCs w:val="0"/>
          <w:sz w:val="32"/>
          <w:szCs w:val="32"/>
        </w:rPr>
      </w:pPr>
      <w:r>
        <w:rPr>
          <w:rFonts w:hint="eastAsia" w:ascii="Times New Roman" w:hAnsi="Times New Roman" w:eastAsia="仿宋_GB2312" w:cs="Times New Roman"/>
          <w:b/>
          <w:bCs w:val="0"/>
          <w:sz w:val="32"/>
          <w:szCs w:val="32"/>
        </w:rPr>
        <w:t>（二）</w:t>
      </w:r>
      <w:r>
        <w:rPr>
          <w:rFonts w:ascii="Times New Roman" w:hAnsi="Times New Roman" w:eastAsia="仿宋_GB2312" w:cs="Times New Roman"/>
          <w:b/>
          <w:bCs w:val="0"/>
          <w:sz w:val="32"/>
          <w:szCs w:val="32"/>
        </w:rPr>
        <w:t>寿安工业基地</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利用</w:t>
      </w:r>
      <w:r>
        <w:rPr>
          <w:rFonts w:hint="eastAsia" w:ascii="Times New Roman" w:hAnsi="Times New Roman" w:eastAsia="仿宋_GB2312" w:cs="Times New Roman"/>
          <w:bCs/>
          <w:sz w:val="32"/>
          <w:szCs w:val="32"/>
          <w:lang w:val="en-US" w:eastAsia="zh-CN"/>
        </w:rPr>
        <w:t>寿安</w:t>
      </w:r>
      <w:r>
        <w:rPr>
          <w:rFonts w:ascii="Times New Roman" w:hAnsi="Times New Roman" w:eastAsia="仿宋_GB2312" w:cs="Times New Roman"/>
          <w:bCs/>
          <w:sz w:val="32"/>
          <w:szCs w:val="32"/>
        </w:rPr>
        <w:t>临近景德镇市区的地理优势，按照市区</w:t>
      </w:r>
      <w:r>
        <w:rPr>
          <w:rFonts w:hint="eastAsia" w:ascii="Times New Roman" w:hAnsi="Times New Roman" w:eastAsia="仿宋_GB2312" w:cs="Times New Roman"/>
          <w:bCs/>
          <w:sz w:val="32"/>
          <w:szCs w:val="32"/>
          <w:lang w:val="en-US" w:eastAsia="zh-CN"/>
        </w:rPr>
        <w:t>新材料、</w:t>
      </w:r>
      <w:r>
        <w:rPr>
          <w:rFonts w:ascii="Times New Roman" w:hAnsi="Times New Roman" w:eastAsia="仿宋_GB2312" w:cs="Times New Roman"/>
          <w:bCs/>
          <w:sz w:val="32"/>
          <w:szCs w:val="32"/>
        </w:rPr>
        <w:t>陶瓷、汽车零部件加工、陶瓷机械加工制造企业转移的重要承载体的要求，尽快完成工业基地规划论证和前期土地征用，加快工业基地基础设施建设。</w:t>
      </w:r>
    </w:p>
    <w:p>
      <w:pPr>
        <w:spacing w:before="156" w:beforeLines="50" w:line="560" w:lineRule="exact"/>
        <w:ind w:firstLine="643" w:firstLineChars="200"/>
        <w:rPr>
          <w:rFonts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w:t>
      </w:r>
      <w:r>
        <w:rPr>
          <w:rFonts w:ascii="Times New Roman" w:hAnsi="Times New Roman" w:eastAsia="楷体_GB2312" w:cs="Times New Roman"/>
          <w:b/>
          <w:bCs/>
          <w:sz w:val="32"/>
          <w:szCs w:val="22"/>
        </w:rPr>
        <w:t>推动农业</w:t>
      </w:r>
      <w:r>
        <w:rPr>
          <w:rFonts w:hint="eastAsia" w:ascii="Times New Roman" w:hAnsi="Times New Roman" w:eastAsia="楷体_GB2312" w:cs="Times New Roman"/>
          <w:b/>
          <w:bCs/>
          <w:sz w:val="32"/>
          <w:szCs w:val="22"/>
        </w:rPr>
        <w:t>“</w:t>
      </w:r>
      <w:r>
        <w:rPr>
          <w:rFonts w:ascii="Times New Roman" w:hAnsi="Times New Roman" w:eastAsia="楷体_GB2312" w:cs="Times New Roman"/>
          <w:b/>
          <w:bCs/>
          <w:sz w:val="32"/>
          <w:szCs w:val="22"/>
        </w:rPr>
        <w:t>接二连三</w:t>
      </w:r>
      <w:r>
        <w:rPr>
          <w:rFonts w:hint="eastAsia" w:ascii="Times New Roman" w:hAnsi="Times New Roman" w:eastAsia="楷体_GB2312" w:cs="Times New Roman"/>
          <w:b/>
          <w:bCs/>
          <w:sz w:val="32"/>
          <w:szCs w:val="22"/>
        </w:rPr>
        <w:t>”</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抓住乡村产业振兴发展契机，加快完善农业产供销服务体系，着力</w:t>
      </w:r>
      <w:r>
        <w:rPr>
          <w:rFonts w:hint="eastAsia" w:ascii="Times New Roman" w:hAnsi="Times New Roman" w:eastAsia="仿宋_GB2312" w:cs="Times New Roman"/>
          <w:bCs/>
          <w:sz w:val="32"/>
          <w:szCs w:val="32"/>
        </w:rPr>
        <w:t>推动</w:t>
      </w:r>
      <w:r>
        <w:rPr>
          <w:rFonts w:hint="eastAsia" w:ascii="Times New Roman" w:hAnsi="Times New Roman" w:eastAsia="仿宋_GB2312" w:cs="Times New Roman"/>
          <w:bCs/>
          <w:sz w:val="32"/>
          <w:szCs w:val="32"/>
          <w:lang w:eastAsia="zh-CN"/>
        </w:rPr>
        <w:t>一、二、三产业</w:t>
      </w:r>
      <w:r>
        <w:rPr>
          <w:rFonts w:ascii="Times New Roman" w:hAnsi="Times New Roman" w:eastAsia="仿宋_GB2312" w:cs="Times New Roman"/>
          <w:bCs/>
          <w:sz w:val="32"/>
          <w:szCs w:val="32"/>
        </w:rPr>
        <w:t>融合发展，加快农业现代化发展进程。积极完善农业科技、农产品加工、市场流通、信息咨询等产供销服务体系，聚力打造</w:t>
      </w:r>
      <w:r>
        <w:rPr>
          <w:rFonts w:hint="eastAsia" w:ascii="Times New Roman" w:hAnsi="Times New Roman" w:eastAsia="仿宋_GB2312" w:cs="Times New Roman"/>
          <w:bCs/>
          <w:sz w:val="32"/>
          <w:szCs w:val="32"/>
        </w:rPr>
        <w:t>粮食</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水果</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蔬菜</w:t>
      </w:r>
      <w:r>
        <w:rPr>
          <w:rFonts w:ascii="Times New Roman" w:hAnsi="Times New Roman" w:eastAsia="仿宋_GB2312" w:cs="Times New Roman"/>
          <w:bCs/>
          <w:sz w:val="32"/>
          <w:szCs w:val="32"/>
        </w:rPr>
        <w:t>等年产值均超过亿元的农业全产业链，支持</w:t>
      </w:r>
      <w:r>
        <w:rPr>
          <w:rFonts w:hint="eastAsia" w:ascii="Times New Roman" w:hAnsi="Times New Roman" w:eastAsia="仿宋_GB2312" w:cs="Times New Roman"/>
          <w:bCs/>
          <w:sz w:val="32"/>
          <w:szCs w:val="32"/>
        </w:rPr>
        <w:t>王港</w:t>
      </w:r>
      <w:r>
        <w:rPr>
          <w:rFonts w:ascii="Times New Roman" w:hAnsi="Times New Roman" w:eastAsia="仿宋_GB2312" w:cs="Times New Roman"/>
          <w:bCs/>
          <w:sz w:val="32"/>
          <w:szCs w:val="32"/>
        </w:rPr>
        <w:t>建设集</w:t>
      </w:r>
      <w:r>
        <w:rPr>
          <w:rFonts w:hint="eastAsia" w:ascii="Times New Roman" w:hAnsi="Times New Roman" w:eastAsia="仿宋_GB2312" w:cs="Times New Roman"/>
          <w:bCs/>
          <w:sz w:val="32"/>
          <w:szCs w:val="32"/>
        </w:rPr>
        <w:t>杨梅、草莓</w:t>
      </w:r>
      <w:r>
        <w:rPr>
          <w:rFonts w:ascii="Times New Roman" w:hAnsi="Times New Roman" w:eastAsia="仿宋_GB2312" w:cs="Times New Roman"/>
          <w:bCs/>
          <w:sz w:val="32"/>
          <w:szCs w:val="32"/>
        </w:rPr>
        <w:t>育种、加工、精深加工、电子商务等多种功能的精深加工园，支持</w:t>
      </w:r>
      <w:r>
        <w:rPr>
          <w:rFonts w:hint="eastAsia" w:ascii="Times New Roman" w:hAnsi="Times New Roman" w:eastAsia="仿宋_GB2312" w:cs="Times New Roman"/>
          <w:bCs/>
          <w:sz w:val="32"/>
          <w:szCs w:val="32"/>
        </w:rPr>
        <w:t>寿安</w:t>
      </w:r>
      <w:r>
        <w:rPr>
          <w:rFonts w:ascii="Times New Roman" w:hAnsi="Times New Roman" w:eastAsia="仿宋_GB2312" w:cs="Times New Roman"/>
          <w:bCs/>
          <w:sz w:val="32"/>
          <w:szCs w:val="32"/>
        </w:rPr>
        <w:t>建设</w:t>
      </w:r>
      <w:r>
        <w:rPr>
          <w:rFonts w:hint="eastAsia" w:ascii="Times New Roman" w:hAnsi="Times New Roman" w:eastAsia="仿宋_GB2312" w:cs="Times New Roman"/>
          <w:bCs/>
          <w:sz w:val="32"/>
          <w:szCs w:val="32"/>
        </w:rPr>
        <w:t>大米</w:t>
      </w:r>
      <w:r>
        <w:rPr>
          <w:rFonts w:ascii="Times New Roman" w:hAnsi="Times New Roman" w:eastAsia="仿宋_GB2312" w:cs="Times New Roman"/>
          <w:bCs/>
          <w:sz w:val="32"/>
          <w:szCs w:val="32"/>
        </w:rPr>
        <w:t>加工园，支持</w:t>
      </w:r>
      <w:r>
        <w:rPr>
          <w:rFonts w:hint="eastAsia" w:ascii="Times New Roman" w:hAnsi="Times New Roman" w:eastAsia="仿宋_GB2312" w:cs="Times New Roman"/>
          <w:bCs/>
          <w:sz w:val="32"/>
          <w:szCs w:val="32"/>
        </w:rPr>
        <w:t>三龙</w:t>
      </w:r>
      <w:r>
        <w:rPr>
          <w:rFonts w:ascii="Times New Roman" w:hAnsi="Times New Roman" w:eastAsia="仿宋_GB2312" w:cs="Times New Roman"/>
          <w:bCs/>
          <w:sz w:val="32"/>
          <w:szCs w:val="32"/>
        </w:rPr>
        <w:t>建设集农产品交易、冷链物流、包装加工等多种功能的果蔬综合体。统筹布局现代农业园区、农业科技园、田园综合体、道地药材基地、生态</w:t>
      </w:r>
      <w:r>
        <w:rPr>
          <w:rFonts w:hint="eastAsia" w:ascii="Times New Roman" w:hAnsi="Times New Roman" w:eastAsia="仿宋_GB2312" w:cs="Times New Roman"/>
          <w:bCs/>
          <w:sz w:val="32"/>
          <w:szCs w:val="32"/>
        </w:rPr>
        <w:t>茶庄</w:t>
      </w:r>
      <w:r>
        <w:rPr>
          <w:rFonts w:ascii="Times New Roman" w:hAnsi="Times New Roman" w:eastAsia="仿宋_GB2312" w:cs="Times New Roman"/>
          <w:bCs/>
          <w:sz w:val="32"/>
          <w:szCs w:val="32"/>
        </w:rPr>
        <w:t>、休闲渔</w:t>
      </w:r>
      <w:r>
        <w:rPr>
          <w:rFonts w:hint="eastAsia" w:ascii="Times New Roman" w:hAnsi="Times New Roman" w:eastAsia="仿宋_GB2312" w:cs="Times New Roman"/>
          <w:bCs/>
          <w:sz w:val="32"/>
          <w:szCs w:val="32"/>
        </w:rPr>
        <w:t>庄</w:t>
      </w:r>
      <w:r>
        <w:rPr>
          <w:rFonts w:ascii="Times New Roman" w:hAnsi="Times New Roman" w:eastAsia="仿宋_GB2312" w:cs="Times New Roman"/>
          <w:bCs/>
          <w:sz w:val="32"/>
          <w:szCs w:val="32"/>
        </w:rPr>
        <w:t>等农旅融合项目建设，探索建设现代农业带动的乡村振兴示范带</w:t>
      </w:r>
      <w:r>
        <w:rPr>
          <w:rFonts w:hint="eastAsia" w:ascii="Times New Roman" w:hAnsi="Times New Roman" w:eastAsia="仿宋_GB2312" w:cs="Times New Roman"/>
          <w:bCs/>
          <w:sz w:val="32"/>
          <w:szCs w:val="32"/>
        </w:rPr>
        <w:t>2.0</w:t>
      </w:r>
      <w:r>
        <w:rPr>
          <w:rFonts w:ascii="Times New Roman" w:hAnsi="Times New Roman" w:eastAsia="仿宋_GB2312" w:cs="Times New Roman"/>
          <w:bCs/>
          <w:sz w:val="32"/>
          <w:szCs w:val="32"/>
        </w:rPr>
        <w:t>版，培育生态游、乡村游、观光游、休闲游、农业体验游等农旅融合产业，开发农业农村生态资源和乡村民俗文化，促进农业产业链延伸、价值链提升、增收链拓宽，更加有效带动农民增收、农村发展、农业升级。</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三、推进工业补链延链强链扩链</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建立由行业主管部门、园区建设中心、相关乡镇主要领导负责的产业链</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链长制</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，制定出台产业链建设方案和实施计划，组织实施一批补链强链延链项目，推动</w:t>
      </w:r>
      <w:r>
        <w:rPr>
          <w:rFonts w:hint="eastAsia" w:ascii="Times New Roman" w:hAnsi="Times New Roman" w:eastAsia="仿宋_GB2312" w:cs="Times New Roman"/>
          <w:bCs/>
          <w:sz w:val="32"/>
          <w:szCs w:val="32"/>
        </w:rPr>
        <w:t>先进陶瓷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电子信息</w:t>
      </w:r>
      <w:r>
        <w:rPr>
          <w:rFonts w:ascii="Times New Roman" w:hAnsi="Times New Roman" w:eastAsia="仿宋_GB2312" w:cs="Times New Roman"/>
          <w:bCs/>
          <w:sz w:val="32"/>
          <w:szCs w:val="32"/>
        </w:rPr>
        <w:t>等产业发展高端制造项目，精准招引和培育新材料、新工艺、新装备等关键配套项目。针对性扶持食品加工、建筑</w:t>
      </w:r>
      <w:r>
        <w:rPr>
          <w:rFonts w:hint="eastAsia" w:ascii="Times New Roman" w:hAnsi="Times New Roman" w:eastAsia="仿宋_GB2312" w:cs="Times New Roman"/>
          <w:bCs/>
          <w:sz w:val="32"/>
          <w:szCs w:val="32"/>
        </w:rPr>
        <w:t>材料制造</w:t>
      </w:r>
      <w:r>
        <w:rPr>
          <w:rFonts w:ascii="Times New Roman" w:hAnsi="Times New Roman" w:eastAsia="仿宋_GB2312" w:cs="Times New Roman"/>
          <w:bCs/>
          <w:sz w:val="32"/>
          <w:szCs w:val="32"/>
        </w:rPr>
        <w:t>等工业发展，增强工业对旅游、农业、建筑、文化创意等重点产业高质量发展的支撑作用。</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四、促进“两业”融合发展</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顺应产业升级需求，探索</w:t>
      </w:r>
      <w:r>
        <w:rPr>
          <w:rFonts w:hint="eastAsia" w:ascii="Times New Roman" w:hAnsi="Times New Roman" w:eastAsia="仿宋_GB2312" w:cs="Times New Roman"/>
          <w:bCs/>
          <w:sz w:val="32"/>
          <w:szCs w:val="32"/>
        </w:rPr>
        <w:t>制造业</w:t>
      </w:r>
      <w:r>
        <w:rPr>
          <w:rFonts w:ascii="Times New Roman" w:hAnsi="Times New Roman" w:eastAsia="仿宋_GB2312" w:cs="Times New Roman"/>
          <w:bCs/>
          <w:sz w:val="32"/>
          <w:szCs w:val="32"/>
        </w:rPr>
        <w:t>和服务业、制造业和互联网、设计研发、现代物流、金融服务等重点行业重点领域深度融合试点，实施</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制造业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重点生产性服务业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专项行动，推进服务业各细分行业及服务业与制造业深度融合。鼓励有条件的制造业企业，由加工制造环节向研发设计、运维管理、仓储物流、市场营销、电子商务、技术培训、融资租赁等增值服务环节延伸，做大做强</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服务</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，扶持一批制造型服务企业。支持</w:t>
      </w:r>
      <w:r>
        <w:rPr>
          <w:rFonts w:hint="eastAsia" w:ascii="Times New Roman" w:hAnsi="Times New Roman" w:eastAsia="仿宋_GB2312" w:cs="Times New Roman"/>
          <w:bCs/>
          <w:sz w:val="32"/>
          <w:szCs w:val="32"/>
        </w:rPr>
        <w:t>手工陶瓷</w:t>
      </w:r>
      <w:r>
        <w:rPr>
          <w:rFonts w:ascii="Times New Roman" w:hAnsi="Times New Roman" w:eastAsia="仿宋_GB2312" w:cs="Times New Roman"/>
          <w:bCs/>
          <w:sz w:val="32"/>
          <w:szCs w:val="32"/>
        </w:rPr>
        <w:t>等时尚轻工企业，开展规模化、个性化定制和模块化设计，建设在线设计、用户体验、众创定制等平台；支持时尚行业商贸流通、品牌经营企业发挥自身优势，适当发展时尚轻工业。推动</w:t>
      </w:r>
      <w:r>
        <w:rPr>
          <w:rFonts w:hint="eastAsia" w:ascii="Times New Roman" w:hAnsi="Times New Roman" w:eastAsia="仿宋_GB2312" w:cs="Times New Roman"/>
          <w:bCs/>
          <w:sz w:val="32"/>
          <w:szCs w:val="32"/>
        </w:rPr>
        <w:t>现代陶瓷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新材料</w:t>
      </w:r>
      <w:r>
        <w:rPr>
          <w:rFonts w:ascii="Times New Roman" w:hAnsi="Times New Roman" w:eastAsia="仿宋_GB2312" w:cs="Times New Roman"/>
          <w:bCs/>
          <w:sz w:val="32"/>
          <w:szCs w:val="32"/>
        </w:rPr>
        <w:t>等行业与第三方物流、快递企业密切合作，在</w:t>
      </w:r>
      <w:r>
        <w:rPr>
          <w:rFonts w:hint="eastAsia" w:ascii="Times New Roman" w:hAnsi="Times New Roman" w:eastAsia="仿宋_GB2312" w:cs="Times New Roman"/>
          <w:bCs/>
          <w:sz w:val="32"/>
          <w:szCs w:val="32"/>
          <w:lang w:val="en-US" w:eastAsia="zh-CN"/>
        </w:rPr>
        <w:t>产业</w:t>
      </w:r>
      <w:r>
        <w:rPr>
          <w:rFonts w:ascii="Times New Roman" w:hAnsi="Times New Roman" w:eastAsia="仿宋_GB2312" w:cs="Times New Roman"/>
          <w:bCs/>
          <w:sz w:val="32"/>
          <w:szCs w:val="32"/>
        </w:rPr>
        <w:t>园</w:t>
      </w:r>
      <w:r>
        <w:rPr>
          <w:rFonts w:hint="eastAsia" w:ascii="Times New Roman" w:hAnsi="Times New Roman" w:eastAsia="仿宋_GB2312" w:cs="Times New Roman"/>
          <w:bCs/>
          <w:sz w:val="32"/>
          <w:szCs w:val="32"/>
          <w:lang w:val="en-US" w:eastAsia="zh-CN"/>
        </w:rPr>
        <w:t>和工业基地</w:t>
      </w:r>
      <w:r>
        <w:rPr>
          <w:rFonts w:ascii="Times New Roman" w:hAnsi="Times New Roman" w:eastAsia="仿宋_GB2312" w:cs="Times New Roman"/>
          <w:bCs/>
          <w:sz w:val="32"/>
          <w:szCs w:val="32"/>
        </w:rPr>
        <w:t>建设和企业设施布局过程中引入专业化物流解决方案，共同投资建设专用物流仓储设施，探索物流业</w:t>
      </w:r>
      <w:r>
        <w:rPr>
          <w:rFonts w:hint="eastAsia" w:ascii="Times New Roman" w:hAnsi="Times New Roman" w:eastAsia="仿宋_GB2312" w:cs="Times New Roman"/>
          <w:bCs/>
          <w:sz w:val="32"/>
          <w:szCs w:val="32"/>
          <w:lang w:val="en-US" w:eastAsia="zh-CN"/>
        </w:rPr>
        <w:t>与</w:t>
      </w:r>
      <w:r>
        <w:rPr>
          <w:rFonts w:ascii="Times New Roman" w:hAnsi="Times New Roman" w:eastAsia="仿宋_GB2312" w:cs="Times New Roman"/>
          <w:bCs/>
          <w:sz w:val="32"/>
          <w:szCs w:val="32"/>
        </w:rPr>
        <w:t>制造业深度融合创新发展新途径。推动</w:t>
      </w:r>
      <w:r>
        <w:rPr>
          <w:rFonts w:hint="eastAsia" w:ascii="Times New Roman" w:hAnsi="Times New Roman" w:eastAsia="仿宋_GB2312" w:cs="Times New Roman"/>
          <w:bCs/>
          <w:sz w:val="32"/>
          <w:szCs w:val="32"/>
        </w:rPr>
        <w:t>浮梁产业园三龙片区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湘湖片区</w:t>
      </w:r>
      <w:r>
        <w:rPr>
          <w:rFonts w:ascii="Times New Roman" w:hAnsi="Times New Roman" w:eastAsia="仿宋_GB2312" w:cs="Times New Roman"/>
          <w:bCs/>
          <w:sz w:val="32"/>
          <w:szCs w:val="32"/>
        </w:rPr>
        <w:t>等平台建设电子商务、科技创新等生产性服务业功能区，为工业高质量发展提供优质的生产服务支撑。</w:t>
      </w:r>
    </w:p>
    <w:p>
      <w:pPr>
        <w:spacing w:before="156" w:beforeLines="50" w:line="560" w:lineRule="exact"/>
        <w:ind w:firstLine="643" w:firstLineChars="200"/>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五、推动军民融合发展</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发挥</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区位优势，积极开展</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民参军</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军转民</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双倍增行动计划，健全军民融合服务体系，完善军民融合产业政策，优化军民融合工作机制，以</w:t>
      </w:r>
      <w:r>
        <w:rPr>
          <w:rFonts w:hint="eastAsia" w:ascii="Times New Roman" w:hAnsi="Times New Roman" w:eastAsia="仿宋_GB2312" w:cs="Times New Roman"/>
          <w:bCs/>
          <w:sz w:val="32"/>
          <w:szCs w:val="32"/>
        </w:rPr>
        <w:t>湘湖镇</w:t>
      </w:r>
      <w:r>
        <w:rPr>
          <w:rFonts w:ascii="Times New Roman" w:hAnsi="Times New Roman" w:eastAsia="仿宋_GB2312" w:cs="Times New Roman"/>
          <w:bCs/>
          <w:sz w:val="32"/>
          <w:szCs w:val="32"/>
        </w:rPr>
        <w:t>为重点，实施一批</w:t>
      </w:r>
      <w:r>
        <w:rPr>
          <w:rFonts w:hint="eastAsia" w:ascii="Times New Roman" w:hAnsi="Times New Roman" w:eastAsia="仿宋_GB2312" w:cs="Times New Roman"/>
          <w:bCs/>
          <w:sz w:val="32"/>
          <w:szCs w:val="32"/>
        </w:rPr>
        <w:t>航空</w:t>
      </w:r>
      <w:r>
        <w:rPr>
          <w:rFonts w:ascii="Times New Roman" w:hAnsi="Times New Roman" w:eastAsia="仿宋_GB2312" w:cs="Times New Roman"/>
          <w:bCs/>
          <w:sz w:val="32"/>
          <w:szCs w:val="32"/>
        </w:rPr>
        <w:t>装备、物资储备、国防教育、红色文化等重大军民融合项目，争创省级军民融合创新示范区。</w:t>
      </w:r>
    </w:p>
    <w:p>
      <w:pPr>
        <w:tabs>
          <w:tab w:val="left" w:pos="2268"/>
        </w:tabs>
        <w:adjustRightInd w:val="0"/>
        <w:snapToGrid w:val="0"/>
        <w:spacing w:before="156" w:beforeLines="50" w:line="360" w:lineRule="auto"/>
        <w:jc w:val="center"/>
        <w:outlineLvl w:val="1"/>
        <w:rPr>
          <w:rFonts w:hint="eastAsia" w:ascii="Times New Roman" w:hAnsi="Times New Roman" w:eastAsia="黑体" w:cs="Times New Roman"/>
          <w:sz w:val="32"/>
          <w:szCs w:val="32"/>
        </w:rPr>
      </w:pP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5" w:name="_Toc24353"/>
      <w:r>
        <w:rPr>
          <w:rFonts w:hint="eastAsia" w:ascii="Times New Roman" w:hAnsi="Times New Roman" w:eastAsia="黑体" w:cs="Times New Roman"/>
          <w:sz w:val="32"/>
          <w:szCs w:val="32"/>
        </w:rPr>
        <w:t>第二节  实施科技创新驱动行动</w:t>
      </w:r>
      <w:bookmarkEnd w:id="45"/>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围绕产业链部署创新链，加强前沿产业技术研发创新，着力推进创新研发平台建设。探索建立政产学研协同创新机制，大力建设产业创新平台，采取财政奖励或补贴政策，鼓励有条件的企业组建产业技术研究院、产业技术创新战略联盟，建立院士工作站、博士后工作站、技能大师工作室等产学研用实体。引导产业优势明显、产值超亿元企业争创国家级、省级、市级企业技术中心、工程研究中心和工业设计中心等，提高骨干企业核心竞争力。</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一、推进产学研协同创新</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积极推动</w:t>
      </w:r>
      <w:r>
        <w:rPr>
          <w:rFonts w:hint="eastAsia" w:ascii="Times New Roman" w:hAnsi="Times New Roman" w:eastAsia="仿宋_GB2312" w:cs="Times New Roman"/>
          <w:bCs/>
          <w:sz w:val="32"/>
          <w:szCs w:val="32"/>
        </w:rPr>
        <w:t>景德镇陶瓷大学浮梁陶瓷新材料研发中心</w:t>
      </w:r>
      <w:r>
        <w:rPr>
          <w:rFonts w:ascii="Times New Roman" w:hAnsi="Times New Roman" w:eastAsia="仿宋_GB2312" w:cs="Times New Roman"/>
          <w:bCs/>
          <w:sz w:val="32"/>
          <w:szCs w:val="32"/>
        </w:rPr>
        <w:t>向新型研发机构提升，探索引进</w:t>
      </w:r>
      <w:r>
        <w:rPr>
          <w:rFonts w:hint="eastAsia" w:ascii="Times New Roman" w:hAnsi="Times New Roman" w:eastAsia="仿宋_GB2312" w:cs="Times New Roman"/>
          <w:bCs/>
          <w:sz w:val="32"/>
          <w:szCs w:val="32"/>
        </w:rPr>
        <w:t>先进陶瓷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通用航空、电子信息</w:t>
      </w:r>
      <w:r>
        <w:rPr>
          <w:rFonts w:ascii="Times New Roman" w:hAnsi="Times New Roman" w:eastAsia="仿宋_GB2312" w:cs="Times New Roman"/>
          <w:bCs/>
          <w:sz w:val="32"/>
          <w:szCs w:val="32"/>
        </w:rPr>
        <w:t>等重大科技平台，完善</w:t>
      </w:r>
      <w:r>
        <w:rPr>
          <w:rFonts w:hint="eastAsia" w:ascii="Times New Roman" w:hAnsi="Times New Roman" w:eastAsia="仿宋_GB2312" w:cs="Times New Roman"/>
          <w:bCs/>
          <w:sz w:val="32"/>
          <w:szCs w:val="32"/>
          <w:lang w:eastAsia="zh-CN"/>
        </w:rPr>
        <w:t>推进</w:t>
      </w:r>
      <w:r>
        <w:rPr>
          <w:rFonts w:ascii="Times New Roman" w:hAnsi="Times New Roman" w:eastAsia="仿宋_GB2312" w:cs="Times New Roman"/>
          <w:bCs/>
          <w:sz w:val="32"/>
          <w:szCs w:val="32"/>
        </w:rPr>
        <w:t>政产学研合作和成果转化机制，为</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高质量发展提供科技支撑。鼓励</w:t>
      </w:r>
      <w:r>
        <w:rPr>
          <w:rFonts w:hint="eastAsia" w:ascii="Times New Roman" w:hAnsi="Times New Roman" w:eastAsia="仿宋_GB2312" w:cs="Times New Roman"/>
          <w:bCs/>
          <w:sz w:val="32"/>
          <w:szCs w:val="32"/>
        </w:rPr>
        <w:t>现代陶瓷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电子信息</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现代农业</w:t>
      </w:r>
      <w:r>
        <w:rPr>
          <w:rFonts w:ascii="Times New Roman" w:hAnsi="Times New Roman" w:eastAsia="仿宋_GB2312" w:cs="Times New Roman"/>
          <w:bCs/>
          <w:sz w:val="32"/>
          <w:szCs w:val="32"/>
        </w:rPr>
        <w:t>等行业联合高校院所、科研机构建立科技创新联合体，组建产学研协同创新联盟，推进建设创意设计、研发、检验检测、</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互联网</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等服务功能于一体的</w:t>
      </w:r>
      <w:r>
        <w:rPr>
          <w:rFonts w:hint="eastAsia" w:ascii="Times New Roman" w:hAnsi="Times New Roman" w:eastAsia="仿宋_GB2312" w:cs="Times New Roman"/>
          <w:bCs/>
          <w:sz w:val="32"/>
          <w:szCs w:val="32"/>
        </w:rPr>
        <w:t>先进陶瓷</w:t>
      </w:r>
      <w:r>
        <w:rPr>
          <w:rFonts w:ascii="Times New Roman" w:hAnsi="Times New Roman" w:eastAsia="仿宋_GB2312" w:cs="Times New Roman"/>
          <w:bCs/>
          <w:sz w:val="32"/>
          <w:szCs w:val="32"/>
        </w:rPr>
        <w:t>产业创新服务综合体。健全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企业出题、院校破题、政府助题</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的技术研发攻关模式，加快攻克一批可填补国内空白和实现进口替代的关键核心技术，特别是</w:t>
      </w:r>
      <w:r>
        <w:rPr>
          <w:rFonts w:hint="eastAsia" w:ascii="Times New Roman" w:hAnsi="Times New Roman" w:eastAsia="仿宋_GB2312" w:cs="Times New Roman"/>
          <w:bCs/>
          <w:sz w:val="32"/>
          <w:szCs w:val="32"/>
        </w:rPr>
        <w:t>高纯氧化铝粉体制备技术</w:t>
      </w:r>
      <w:r>
        <w:rPr>
          <w:rFonts w:ascii="Times New Roman" w:hAnsi="Times New Roman" w:eastAsia="仿宋_GB2312" w:cs="Times New Roman"/>
          <w:bCs/>
          <w:sz w:val="32"/>
          <w:szCs w:val="32"/>
        </w:rPr>
        <w:t>。</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二、增强企业自主创新能力</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健全科技型企业和企业研发机构后备库，迭代推进科技企业新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双倍增</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行动，构建科技企业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微成长、小升高、高壮大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的梯次培育机制，</w:t>
      </w:r>
      <w:r>
        <w:rPr>
          <w:rFonts w:hint="eastAsia" w:ascii="Times New Roman" w:hAnsi="Times New Roman" w:eastAsia="仿宋_GB2312" w:cs="Times New Roman"/>
          <w:bCs/>
          <w:sz w:val="32"/>
          <w:szCs w:val="32"/>
        </w:rPr>
        <w:t>2025</w:t>
      </w:r>
      <w:r>
        <w:rPr>
          <w:rFonts w:ascii="Times New Roman" w:hAnsi="Times New Roman" w:eastAsia="仿宋_GB2312" w:cs="Times New Roman"/>
          <w:bCs/>
          <w:sz w:val="32"/>
          <w:szCs w:val="32"/>
        </w:rPr>
        <w:t>年高新技术企业、</w:t>
      </w:r>
      <w:r>
        <w:rPr>
          <w:rFonts w:hint="eastAsia" w:ascii="Times New Roman" w:hAnsi="Times New Roman" w:eastAsia="仿宋_GB2312" w:cs="Times New Roman"/>
          <w:bCs/>
          <w:sz w:val="32"/>
          <w:szCs w:val="32"/>
        </w:rPr>
        <w:t>专精特新</w:t>
      </w:r>
      <w:r>
        <w:rPr>
          <w:rFonts w:ascii="Times New Roman" w:hAnsi="Times New Roman" w:eastAsia="仿宋_GB2312" w:cs="Times New Roman"/>
          <w:bCs/>
          <w:sz w:val="32"/>
          <w:szCs w:val="32"/>
        </w:rPr>
        <w:t>中小企业达到</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家</w:t>
      </w:r>
      <w:r>
        <w:rPr>
          <w:rFonts w:hint="eastAsia" w:ascii="Times New Roman" w:hAnsi="Times New Roman" w:eastAsia="仿宋_GB2312" w:cs="Times New Roman"/>
          <w:bCs/>
          <w:sz w:val="32"/>
          <w:szCs w:val="32"/>
          <w:lang w:val="en-US" w:eastAsia="zh-CN"/>
        </w:rPr>
        <w:t>，2030年达到30家</w:t>
      </w:r>
      <w:r>
        <w:rPr>
          <w:rFonts w:ascii="Times New Roman" w:hAnsi="Times New Roman" w:eastAsia="仿宋_GB2312" w:cs="Times New Roman"/>
          <w:bCs/>
          <w:sz w:val="32"/>
          <w:szCs w:val="32"/>
        </w:rPr>
        <w:t>。支持企业创建技术（工程、研发）中心、企业研究院、工业设计中心等省级以上研发机构，力争</w:t>
      </w:r>
      <w:r>
        <w:rPr>
          <w:rFonts w:hint="eastAsia" w:ascii="Times New Roman" w:hAnsi="Times New Roman" w:eastAsia="仿宋_GB2312" w:cs="Times New Roman"/>
          <w:bCs/>
          <w:sz w:val="32"/>
          <w:szCs w:val="32"/>
          <w:lang w:val="en-US" w:eastAsia="zh-CN"/>
        </w:rPr>
        <w:t>2025年</w:t>
      </w:r>
      <w:r>
        <w:rPr>
          <w:rFonts w:ascii="Times New Roman" w:hAnsi="Times New Roman" w:eastAsia="仿宋_GB2312" w:cs="Times New Roman"/>
          <w:bCs/>
          <w:sz w:val="32"/>
          <w:szCs w:val="32"/>
        </w:rPr>
        <w:t>省级</w:t>
      </w:r>
      <w:r>
        <w:rPr>
          <w:rFonts w:hint="eastAsia" w:ascii="Times New Roman" w:hAnsi="Times New Roman" w:eastAsia="仿宋_GB2312" w:cs="Times New Roman"/>
          <w:bCs/>
          <w:sz w:val="32"/>
          <w:szCs w:val="32"/>
          <w:lang w:val="en-US" w:eastAsia="zh-CN"/>
        </w:rPr>
        <w:t>及以上技术创新中心（工业设计中心）</w:t>
      </w:r>
      <w:r>
        <w:rPr>
          <w:rFonts w:ascii="Times New Roman" w:hAnsi="Times New Roman" w:eastAsia="仿宋_GB2312" w:cs="Times New Roman"/>
          <w:bCs/>
          <w:sz w:val="32"/>
          <w:szCs w:val="32"/>
        </w:rPr>
        <w:t>达到</w:t>
      </w:r>
      <w:r>
        <w:rPr>
          <w:rFonts w:hint="eastAsia" w:ascii="Times New Roman" w:hAnsi="Times New Roman" w:eastAsia="仿宋_GB2312" w:cs="Times New Roman"/>
          <w:bCs/>
          <w:sz w:val="32"/>
          <w:szCs w:val="32"/>
          <w:lang w:val="en-US" w:eastAsia="zh-CN"/>
        </w:rPr>
        <w:t>1</w:t>
      </w:r>
      <w:r>
        <w:rPr>
          <w:rFonts w:hint="eastAsia" w:ascii="Times New Roman" w:hAnsi="Times New Roman" w:eastAsia="仿宋_GB2312" w:cs="Times New Roman"/>
          <w:bCs/>
          <w:sz w:val="32"/>
          <w:szCs w:val="32"/>
        </w:rPr>
        <w:t>0</w:t>
      </w:r>
      <w:r>
        <w:rPr>
          <w:rFonts w:ascii="Times New Roman" w:hAnsi="Times New Roman" w:eastAsia="仿宋_GB2312" w:cs="Times New Roman"/>
          <w:bCs/>
          <w:sz w:val="32"/>
          <w:szCs w:val="32"/>
        </w:rPr>
        <w:t>家</w:t>
      </w:r>
      <w:r>
        <w:rPr>
          <w:rFonts w:hint="eastAsia" w:ascii="Times New Roman" w:hAnsi="Times New Roman" w:eastAsia="仿宋_GB2312" w:cs="Times New Roman"/>
          <w:bCs/>
          <w:sz w:val="32"/>
          <w:szCs w:val="32"/>
          <w:lang w:val="en-US" w:eastAsia="zh-CN"/>
        </w:rPr>
        <w:t>，2030年达到15家</w:t>
      </w:r>
      <w:r>
        <w:rPr>
          <w:rFonts w:ascii="Times New Roman" w:hAnsi="Times New Roman" w:eastAsia="仿宋_GB2312" w:cs="Times New Roman"/>
          <w:bCs/>
          <w:sz w:val="32"/>
          <w:szCs w:val="32"/>
        </w:rPr>
        <w:t>。支持企业承担省级以上重大科技项目，开发新技术新产品新工艺，参与或主导行业标准制定，</w:t>
      </w:r>
      <w:r>
        <w:rPr>
          <w:rFonts w:hint="eastAsia" w:ascii="Times New Roman" w:hAnsi="Times New Roman" w:eastAsia="仿宋_GB2312" w:cs="Times New Roman"/>
          <w:bCs/>
          <w:sz w:val="32"/>
          <w:szCs w:val="32"/>
        </w:rPr>
        <w:t>2025</w:t>
      </w:r>
      <w:r>
        <w:rPr>
          <w:rFonts w:ascii="Times New Roman" w:hAnsi="Times New Roman" w:eastAsia="仿宋_GB2312" w:cs="Times New Roman"/>
          <w:bCs/>
          <w:sz w:val="32"/>
          <w:szCs w:val="32"/>
        </w:rPr>
        <w:t>年规上高新技术企业</w:t>
      </w:r>
      <w:r>
        <w:rPr>
          <w:rFonts w:hint="eastAsia" w:ascii="Times New Roman" w:hAnsi="Times New Roman" w:eastAsia="仿宋_GB2312" w:cs="Times New Roman"/>
          <w:bCs/>
          <w:sz w:val="32"/>
          <w:szCs w:val="32"/>
        </w:rPr>
        <w:t>R&amp;D</w:t>
      </w:r>
      <w:r>
        <w:rPr>
          <w:rFonts w:ascii="Times New Roman" w:hAnsi="Times New Roman" w:eastAsia="仿宋_GB2312" w:cs="Times New Roman"/>
          <w:bCs/>
          <w:sz w:val="32"/>
          <w:szCs w:val="32"/>
        </w:rPr>
        <w:t>经费占企业营业收入的</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rPr>
        <w:t>.5%</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2030年达到5%</w:t>
      </w:r>
      <w:r>
        <w:rPr>
          <w:rFonts w:ascii="Times New Roman" w:hAnsi="Times New Roman" w:eastAsia="仿宋_GB2312" w:cs="Times New Roman"/>
          <w:bCs/>
          <w:sz w:val="32"/>
          <w:szCs w:val="32"/>
        </w:rPr>
        <w:t>。支持农业龙头企业参与</w:t>
      </w:r>
      <w:r>
        <w:rPr>
          <w:rFonts w:hint="eastAsia" w:ascii="Times New Roman" w:hAnsi="Times New Roman" w:eastAsia="仿宋_GB2312" w:cs="Times New Roman"/>
          <w:bCs/>
          <w:sz w:val="32"/>
          <w:szCs w:val="32"/>
        </w:rPr>
        <w:t>“浮梁乡味”</w:t>
      </w:r>
      <w:r>
        <w:rPr>
          <w:rFonts w:ascii="Times New Roman" w:hAnsi="Times New Roman" w:eastAsia="仿宋_GB2312" w:cs="Times New Roman"/>
          <w:bCs/>
          <w:sz w:val="32"/>
          <w:szCs w:val="32"/>
        </w:rPr>
        <w:t>标准体系制定，育苗育种、精深加工等技术和工艺装备研发。</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三、打造创业创新服务平台</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支持</w:t>
      </w:r>
      <w:r>
        <w:rPr>
          <w:rFonts w:hint="eastAsia" w:ascii="Times New Roman" w:hAnsi="Times New Roman" w:eastAsia="仿宋_GB2312" w:cs="Times New Roman"/>
          <w:bCs/>
          <w:sz w:val="32"/>
          <w:szCs w:val="32"/>
        </w:rPr>
        <w:t>浮梁产业园</w:t>
      </w:r>
      <w:r>
        <w:rPr>
          <w:rFonts w:ascii="Times New Roman" w:hAnsi="Times New Roman" w:eastAsia="仿宋_GB2312" w:cs="Times New Roman"/>
          <w:bCs/>
          <w:sz w:val="32"/>
          <w:szCs w:val="32"/>
        </w:rPr>
        <w:t>导入智能制造共享平台项目，带动</w:t>
      </w:r>
      <w:r>
        <w:rPr>
          <w:rFonts w:hint="eastAsia" w:ascii="Times New Roman" w:hAnsi="Times New Roman" w:eastAsia="仿宋_GB2312" w:cs="Times New Roman"/>
          <w:bCs/>
          <w:sz w:val="32"/>
          <w:szCs w:val="32"/>
        </w:rPr>
        <w:t>先进陶瓷、先进材料</w:t>
      </w:r>
      <w:r>
        <w:rPr>
          <w:rFonts w:ascii="Times New Roman" w:hAnsi="Times New Roman" w:eastAsia="仿宋_GB2312" w:cs="Times New Roman"/>
          <w:bCs/>
          <w:sz w:val="32"/>
          <w:szCs w:val="32"/>
        </w:rPr>
        <w:t>集聚发展。继续推动</w:t>
      </w:r>
      <w:r>
        <w:rPr>
          <w:rFonts w:hint="eastAsia" w:ascii="Times New Roman" w:hAnsi="Times New Roman" w:eastAsia="仿宋_GB2312" w:cs="Times New Roman"/>
          <w:bCs/>
          <w:sz w:val="32"/>
          <w:szCs w:val="32"/>
        </w:rPr>
        <w:t>浮梁产业园</w:t>
      </w:r>
      <w:r>
        <w:rPr>
          <w:rFonts w:ascii="Times New Roman" w:hAnsi="Times New Roman" w:eastAsia="仿宋_GB2312" w:cs="Times New Roman"/>
          <w:bCs/>
          <w:sz w:val="32"/>
          <w:szCs w:val="32"/>
        </w:rPr>
        <w:t>科技企业孵化器完善创新链、产业链、资金链、政策链</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四链一体</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创业创新服务体系，扩容形成</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孵化器—加速器—产业园</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全链条孵化空间体系，打造国家级创业孵化基地。支持行业领军企业、创业投资机构、社会组织等社会力量，利用</w:t>
      </w:r>
      <w:r>
        <w:rPr>
          <w:rFonts w:hint="eastAsia" w:ascii="Times New Roman" w:hAnsi="Times New Roman" w:eastAsia="仿宋_GB2312" w:cs="Times New Roman"/>
          <w:bCs/>
          <w:sz w:val="32"/>
          <w:szCs w:val="32"/>
        </w:rPr>
        <w:t>八九七厂、无线电厂等老工业基地</w:t>
      </w:r>
      <w:r>
        <w:rPr>
          <w:rFonts w:ascii="Times New Roman" w:hAnsi="Times New Roman" w:eastAsia="仿宋_GB2312" w:cs="Times New Roman"/>
          <w:bCs/>
          <w:sz w:val="32"/>
          <w:szCs w:val="32"/>
        </w:rPr>
        <w:t>低效工业用地，投资建设和管理运营众创空间、科创园、孵化园等新型创业孵化平台，为创业者提供低成本、便利化、全要素、开放式的工作空间，力争建设成为集都市工业、文化创意、电子商务、文化娱乐、现代居住等功能于一体的省级创业创新园。支持</w:t>
      </w:r>
      <w:r>
        <w:rPr>
          <w:rFonts w:hint="eastAsia" w:ascii="Times New Roman" w:hAnsi="Times New Roman" w:eastAsia="仿宋_GB2312" w:cs="Times New Roman"/>
          <w:bCs/>
          <w:sz w:val="32"/>
          <w:szCs w:val="32"/>
        </w:rPr>
        <w:t>各</w:t>
      </w:r>
      <w:r>
        <w:rPr>
          <w:rFonts w:ascii="Times New Roman" w:hAnsi="Times New Roman" w:eastAsia="仿宋_GB2312" w:cs="Times New Roman"/>
          <w:bCs/>
          <w:sz w:val="32"/>
          <w:szCs w:val="32"/>
        </w:rPr>
        <w:t>乡镇，适当建设特色食品加工、电子商务为主的创业创新平台，带动当地居民增收致富。</w:t>
      </w: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6" w:name="_Toc20154"/>
      <w:r>
        <w:rPr>
          <w:rFonts w:hint="eastAsia" w:ascii="Times New Roman" w:hAnsi="Times New Roman" w:eastAsia="黑体" w:cs="Times New Roman"/>
          <w:sz w:val="32"/>
          <w:szCs w:val="32"/>
        </w:rPr>
        <w:t>第三节  实施企业育强培优行动</w:t>
      </w:r>
      <w:bookmarkEnd w:id="46"/>
    </w:p>
    <w:p>
      <w:pPr>
        <w:spacing w:before="156" w:beforeLines="50" w:line="560" w:lineRule="exact"/>
        <w:ind w:firstLine="643" w:firstLineChars="200"/>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一、加快培育领军型头部企业</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加强龙头企业培育</w:t>
      </w:r>
      <w:r>
        <w:rPr>
          <w:rFonts w:ascii="Times New Roman" w:hAnsi="Times New Roman" w:eastAsia="仿宋_GB2312" w:cs="Times New Roman"/>
          <w:bCs/>
          <w:sz w:val="32"/>
          <w:szCs w:val="32"/>
        </w:rPr>
        <w:t>，继续加强</w:t>
      </w:r>
      <w:r>
        <w:rPr>
          <w:rFonts w:hint="eastAsia" w:ascii="Times New Roman" w:hAnsi="Times New Roman" w:eastAsia="仿宋_GB2312" w:cs="Times New Roman"/>
          <w:bCs/>
          <w:sz w:val="32"/>
          <w:szCs w:val="32"/>
        </w:rPr>
        <w:t>现代陶瓷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新材料</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电子信息</w:t>
      </w:r>
      <w:r>
        <w:rPr>
          <w:rFonts w:ascii="Times New Roman" w:hAnsi="Times New Roman" w:eastAsia="仿宋_GB2312" w:cs="Times New Roman"/>
          <w:bCs/>
          <w:sz w:val="32"/>
          <w:szCs w:val="32"/>
        </w:rPr>
        <w:t>等行业的领军型企业培育，积极保障优势企业建设用地，扶持开展兼并重组，培育形成一批具有较强市场竞争力的一流企业。加强</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专精特新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冠军企业培育，选择性培育一批主业突出、成长性好、专注于细分市场的专业化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小巨人</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企业，打造一批行业隐形冠军或单打冠军。大力推进</w:t>
      </w:r>
      <w:r>
        <w:rPr>
          <w:rFonts w:hint="eastAsia" w:ascii="Times New Roman" w:hAnsi="Times New Roman" w:eastAsia="仿宋_GB2312" w:cs="Times New Roman"/>
          <w:bCs/>
          <w:sz w:val="32"/>
          <w:szCs w:val="32"/>
        </w:rPr>
        <w:t>“映山红行动”</w:t>
      </w:r>
      <w:r>
        <w:rPr>
          <w:rFonts w:ascii="Times New Roman" w:hAnsi="Times New Roman" w:eastAsia="仿宋_GB2312" w:cs="Times New Roman"/>
          <w:bCs/>
          <w:sz w:val="32"/>
          <w:szCs w:val="32"/>
        </w:rPr>
        <w:t>，支持优质民营企业在境内外上市、挂牌，支持企业或财团参与资本市场并购重组。更大力度实施</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瞪羚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计划，着力培育一批具有高成长、裂变发展潜力的创新领军型企业。</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二、精准培育创新型市场主体</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实际情况，制定实施包括农业、工业、服务业等三次产业在内的骨干企业培养库，特别是事关</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支柱产业培养的</w:t>
      </w:r>
      <w:r>
        <w:rPr>
          <w:rFonts w:hint="eastAsia" w:ascii="Times New Roman" w:hAnsi="Times New Roman" w:eastAsia="仿宋_GB2312" w:cs="Times New Roman"/>
          <w:bCs/>
          <w:sz w:val="32"/>
          <w:szCs w:val="32"/>
        </w:rPr>
        <w:t>文化</w:t>
      </w:r>
      <w:r>
        <w:rPr>
          <w:rFonts w:ascii="Times New Roman" w:hAnsi="Times New Roman" w:eastAsia="仿宋_GB2312" w:cs="Times New Roman"/>
          <w:bCs/>
          <w:sz w:val="32"/>
          <w:szCs w:val="32"/>
        </w:rPr>
        <w:t>旅游、商业</w:t>
      </w:r>
      <w:r>
        <w:rPr>
          <w:rFonts w:hint="eastAsia" w:ascii="Times New Roman" w:hAnsi="Times New Roman" w:eastAsia="仿宋_GB2312" w:cs="Times New Roman"/>
          <w:bCs/>
          <w:sz w:val="32"/>
          <w:szCs w:val="32"/>
        </w:rPr>
        <w:t>流通</w:t>
      </w:r>
      <w:r>
        <w:rPr>
          <w:rFonts w:ascii="Times New Roman" w:hAnsi="Times New Roman" w:eastAsia="仿宋_GB2312" w:cs="Times New Roman"/>
          <w:bCs/>
          <w:sz w:val="32"/>
          <w:szCs w:val="32"/>
        </w:rPr>
        <w:t>、现代物流、文化创意等领域，从要素资源配置、企业家培训等方面给予新的支持。同时，注重服务型制造企业、平台型企业、新型农业经营主体等创新型市场主体的培育，精选</w:t>
      </w:r>
      <w:r>
        <w:rPr>
          <w:rFonts w:hint="eastAsia" w:ascii="Times New Roman" w:hAnsi="Times New Roman" w:eastAsia="仿宋_GB2312" w:cs="Times New Roman"/>
          <w:bCs/>
          <w:sz w:val="32"/>
          <w:szCs w:val="32"/>
        </w:rPr>
        <w:t>手工制瓷</w:t>
      </w:r>
      <w:r>
        <w:rPr>
          <w:rFonts w:ascii="Times New Roman" w:hAnsi="Times New Roman" w:eastAsia="仿宋_GB2312" w:cs="Times New Roman"/>
          <w:bCs/>
          <w:sz w:val="32"/>
          <w:szCs w:val="32"/>
        </w:rPr>
        <w:t>等综合实力较强、创新能力领先的企业进行服务型制造企业培育试点，支持商品市场开发商、双创平台运营商、旅游地产运营商、现代农业园区开发商等平台型企业做大做强，精选农民专业合作社和现代农业精品园、畜禽养殖场等</w:t>
      </w:r>
      <w:r>
        <w:rPr>
          <w:rFonts w:hint="eastAsia" w:ascii="Times New Roman" w:hAnsi="Times New Roman" w:eastAsia="仿宋_GB2312" w:cs="Times New Roman"/>
          <w:bCs/>
          <w:sz w:val="32"/>
          <w:szCs w:val="32"/>
          <w:lang w:val="en-US" w:eastAsia="zh-CN"/>
        </w:rPr>
        <w:t>主体</w:t>
      </w:r>
      <w:r>
        <w:rPr>
          <w:rFonts w:ascii="Times New Roman" w:hAnsi="Times New Roman" w:eastAsia="仿宋_GB2312" w:cs="Times New Roman"/>
          <w:bCs/>
          <w:sz w:val="32"/>
          <w:szCs w:val="32"/>
        </w:rPr>
        <w:t>重点培育，全面推动</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各行业骨干企业和创新型企业成长。</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三、健全大中小企业融通机制</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支持以供应链、创新链、资金链为核心产业链共同体建设，构建大中小企业协同发展新格局。引导产业链完善的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块状经济</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向供应链稳定的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产业共同体</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提升，支持龙头企业开展产业链上下游企业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以大带小、整零协作</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。引导生产协作为主的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块状经济</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向创新型产业集群提升，引导</w:t>
      </w:r>
      <w:r>
        <w:rPr>
          <w:rFonts w:hint="eastAsia" w:ascii="Times New Roman" w:hAnsi="Times New Roman" w:eastAsia="仿宋_GB2312" w:cs="Times New Roman"/>
          <w:bCs/>
          <w:sz w:val="32"/>
          <w:szCs w:val="32"/>
        </w:rPr>
        <w:t>先进陶瓷</w:t>
      </w:r>
      <w:r>
        <w:rPr>
          <w:rFonts w:ascii="Times New Roman" w:hAnsi="Times New Roman" w:eastAsia="仿宋_GB2312" w:cs="Times New Roman"/>
          <w:bCs/>
          <w:sz w:val="32"/>
          <w:szCs w:val="32"/>
        </w:rPr>
        <w:t>建立由创新型领军企业和新型研发机构牵头，联合</w:t>
      </w:r>
      <w:r>
        <w:rPr>
          <w:rFonts w:hint="eastAsia" w:ascii="Times New Roman" w:hAnsi="Times New Roman" w:eastAsia="仿宋_GB2312" w:cs="Times New Roman"/>
          <w:bCs/>
          <w:sz w:val="32"/>
          <w:szCs w:val="32"/>
        </w:rPr>
        <w:t>域外</w:t>
      </w:r>
      <w:r>
        <w:rPr>
          <w:rFonts w:ascii="Times New Roman" w:hAnsi="Times New Roman" w:eastAsia="仿宋_GB2312" w:cs="Times New Roman"/>
          <w:bCs/>
          <w:sz w:val="32"/>
          <w:szCs w:val="32"/>
        </w:rPr>
        <w:t>优势企业和科研机构，整合</w:t>
      </w:r>
      <w:r>
        <w:rPr>
          <w:rFonts w:hint="eastAsia" w:ascii="Times New Roman" w:hAnsi="Times New Roman" w:eastAsia="仿宋_GB2312" w:cs="Times New Roman"/>
          <w:bCs/>
          <w:sz w:val="32"/>
          <w:szCs w:val="32"/>
        </w:rPr>
        <w:t>域内</w:t>
      </w:r>
      <w:r>
        <w:rPr>
          <w:rFonts w:ascii="Times New Roman" w:hAnsi="Times New Roman" w:eastAsia="仿宋_GB2312" w:cs="Times New Roman"/>
          <w:bCs/>
          <w:sz w:val="32"/>
          <w:szCs w:val="32"/>
        </w:rPr>
        <w:t>相关企业、协会、研究院所等企业和创新资源，产学研合作，大中小企业协作的全产业链创新发展战略联盟。</w:t>
      </w: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7" w:name="_Toc13397"/>
      <w:r>
        <w:rPr>
          <w:rFonts w:hint="eastAsia" w:ascii="Times New Roman" w:hAnsi="Times New Roman" w:eastAsia="黑体" w:cs="Times New Roman"/>
          <w:sz w:val="32"/>
          <w:szCs w:val="32"/>
        </w:rPr>
        <w:t>第四节  实施质量品牌提升行动</w:t>
      </w:r>
      <w:bookmarkEnd w:id="47"/>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市场导向、政府推动、分类实施、统筹推进</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原则，全面加强</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农业、工业、服务业质量提升和品牌建设，不断提升产品和服务质量水平，加快培育一批具有竞争力的企业、产品、产业品牌。</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一、强化先进标准引领</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需求导向、对比提升、政府引导、企业主体</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lang w:val="en-US" w:eastAsia="zh-CN"/>
        </w:rPr>
        <w:t>要求</w:t>
      </w:r>
      <w:r>
        <w:rPr>
          <w:rFonts w:ascii="Times New Roman" w:hAnsi="Times New Roman" w:eastAsia="仿宋_GB2312" w:cs="Times New Roman"/>
          <w:bCs/>
          <w:sz w:val="32"/>
          <w:szCs w:val="32"/>
        </w:rPr>
        <w:t>，深入开展制造业对标达标提升行动和</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标准化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领航行动，对标先进标准，培育一批质量标杆企业，普遍提升制造业标准化生产率。支持企业主导制（修）订国家标准、行业标准，组建产业技术标准创新联盟。积极运用标准手段提升公共服务水平，在民宿、养老、物业管理、小微企业园等领域，稳步推进服务业标准化建设。支持优势特色农业采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合作社（龙头企业）</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基地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农户</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标准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模式，扶持建立一批农业标准化示范区、畜禽养殖标准化示范场。</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二、促进产品质量提升</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深入开展品质质量提升工程，全面加强质量管理，树立一批质量标杆，争创中国质量奖、省政府质量奖。支持建设检验检测认证、售后服务和服务质量监测等公共服务平台，每个行业选择一批企业推广先进质量管理方法，加强企业全生命周期质量管理。建立健全产品质量追溯管理体系，加强质量安全监管，提高质量</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黑名单</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制度威慑力。深入开展服务业质量提升专项行动，鼓励企业</w:t>
      </w:r>
      <w:r>
        <w:rPr>
          <w:rFonts w:hint="eastAsia" w:ascii="Times New Roman" w:hAnsi="Times New Roman" w:eastAsia="仿宋_GB2312" w:cs="Times New Roman"/>
          <w:bCs/>
          <w:sz w:val="32"/>
          <w:szCs w:val="32"/>
        </w:rPr>
        <w:t>做出</w:t>
      </w:r>
      <w:r>
        <w:rPr>
          <w:rFonts w:ascii="Times New Roman" w:hAnsi="Times New Roman" w:eastAsia="仿宋_GB2312" w:cs="Times New Roman"/>
          <w:bCs/>
          <w:sz w:val="32"/>
          <w:szCs w:val="32"/>
        </w:rPr>
        <w:t>优质服务承诺，推动服务质量信息公开，探索建立以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双随机、一公开</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监管为基本手段、以重点监管为补充、以信用监管为基础的新型服务质量监管机制，优化公共服务质量监测结果运用。</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三、加强品牌建设管理</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加强现代农业品牌建设，加强</w:t>
      </w:r>
      <w:r>
        <w:rPr>
          <w:rFonts w:hint="eastAsia" w:ascii="Times New Roman" w:hAnsi="Times New Roman" w:eastAsia="仿宋_GB2312" w:cs="Times New Roman"/>
          <w:bCs/>
          <w:sz w:val="32"/>
          <w:szCs w:val="32"/>
        </w:rPr>
        <w:t>“浮梁乡味”</w:t>
      </w:r>
      <w:r>
        <w:rPr>
          <w:rFonts w:ascii="Times New Roman" w:hAnsi="Times New Roman" w:eastAsia="仿宋_GB2312" w:cs="Times New Roman"/>
          <w:bCs/>
          <w:sz w:val="32"/>
          <w:szCs w:val="32"/>
        </w:rPr>
        <w:t>公用品牌管理和产品包装、宣传营销工作，线上线下同步发展扩大品牌影响力；支持龙头企业延伸链条、培育品牌，支持无公害农产品、绿色食品、有机农产品和地理标志的农产品等优质农产品品牌发展。打造先进制造业品牌，扶持龙头企业联合行业协会打造区域品牌，采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品牌俱乐部</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品牌连锁</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等模式，开展与中小微企业互惠互利的品牌合作共享，加大品牌侵权监督、查处力度，完善品牌保护体系，提升品牌影响力和附加值。以商品市场、电商、民宿、餐饮、养老等为主攻方向，全面提升服务业质量标准水平、行业自律能力和质量诚信意识，培育一批特色鲜明的服务业品牌。</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四、建立质量诚信共治机制</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探索建立工业、农业、商业、物流、旅游等协会商会参与行业治理的路径，结合政府经济</w:t>
      </w:r>
      <w:r>
        <w:rPr>
          <w:rFonts w:hint="eastAsia" w:ascii="Times New Roman" w:hAnsi="Times New Roman" w:eastAsia="仿宋_GB2312" w:cs="Times New Roman"/>
          <w:bCs/>
          <w:sz w:val="32"/>
          <w:szCs w:val="32"/>
        </w:rPr>
        <w:t>调</w:t>
      </w:r>
      <w:r>
        <w:rPr>
          <w:rFonts w:ascii="Times New Roman" w:hAnsi="Times New Roman" w:eastAsia="仿宋_GB2312" w:cs="Times New Roman"/>
          <w:bCs/>
          <w:sz w:val="32"/>
          <w:szCs w:val="32"/>
        </w:rPr>
        <w:t>节、市场监管、公共服务等职能发挥，建立健全行业自律机制，引导形成基于质量诚信的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优胜劣汰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竞争机制，助推质量强县建设。</w:t>
      </w: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48" w:name="_Toc31036"/>
      <w:r>
        <w:rPr>
          <w:rFonts w:hint="eastAsia" w:ascii="Times New Roman" w:hAnsi="Times New Roman" w:eastAsia="黑体" w:cs="Times New Roman"/>
          <w:sz w:val="32"/>
          <w:szCs w:val="32"/>
        </w:rPr>
        <w:t>第五节  实施绿色发展清洁行动</w:t>
      </w:r>
      <w:bookmarkEnd w:id="48"/>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一、深入推动农业绿色生产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进一步完善化肥农药行业生产监管及产品追溯系统，健全农资经营主体、农资产品准入制度，培育一批放心农资经营示范店，实现农资质量安全全程可追溯。大力推行高效生态循环的种养模式，加大农林废弃物综合利用支持力度，推动规模化大型沼气健康发展。深入推进化肥农药零增长行动，选择</w:t>
      </w:r>
      <w:r>
        <w:rPr>
          <w:rFonts w:hint="eastAsia" w:ascii="Times New Roman" w:hAnsi="Times New Roman" w:eastAsia="仿宋_GB2312" w:cs="Times New Roman"/>
          <w:bCs/>
          <w:sz w:val="32"/>
          <w:szCs w:val="32"/>
        </w:rPr>
        <w:t>一批</w:t>
      </w:r>
      <w:r>
        <w:rPr>
          <w:rFonts w:ascii="Times New Roman" w:hAnsi="Times New Roman" w:eastAsia="仿宋_GB2312" w:cs="Times New Roman"/>
          <w:bCs/>
          <w:sz w:val="32"/>
          <w:szCs w:val="32"/>
        </w:rPr>
        <w:t>设施农业开展有机肥替代化肥试点，探索</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茶（菜）—沼—畜</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秸秆生物反应堆</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等有机肥替代化肥模式，促进农业节本增效。加强农用地膜的全过程监督管理，推广可降解地膜。加强养殖区规范化管理，引导发展生态牧场等健康养殖方式。</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二、全面推进绿色制造工程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持续</w:t>
      </w:r>
      <w:r>
        <w:rPr>
          <w:rFonts w:ascii="Times New Roman" w:hAnsi="Times New Roman" w:eastAsia="仿宋_GB2312" w:cs="Times New Roman"/>
          <w:bCs/>
          <w:sz w:val="32"/>
          <w:szCs w:val="32"/>
        </w:rPr>
        <w:t>推进工业</w:t>
      </w:r>
      <w:r>
        <w:rPr>
          <w:rFonts w:hint="eastAsia" w:ascii="Times New Roman" w:hAnsi="Times New Roman" w:eastAsia="仿宋_GB2312" w:cs="Times New Roman"/>
          <w:bCs/>
          <w:sz w:val="32"/>
          <w:szCs w:val="32"/>
          <w:lang w:val="en-US" w:eastAsia="zh-CN"/>
        </w:rPr>
        <w:t>绿色</w:t>
      </w:r>
      <w:r>
        <w:rPr>
          <w:rFonts w:ascii="Times New Roman" w:hAnsi="Times New Roman" w:eastAsia="仿宋_GB2312" w:cs="Times New Roman"/>
          <w:bCs/>
          <w:sz w:val="32"/>
          <w:szCs w:val="32"/>
        </w:rPr>
        <w:t>发展，加速形成绿色工业园区（小微企业园）为平台，以企业为主体，标准为引领，绿色产品、绿色工厂、绿色供应链为重点的绿色制造体系。支持</w:t>
      </w:r>
      <w:r>
        <w:rPr>
          <w:rFonts w:hint="eastAsia" w:ascii="Times New Roman" w:hAnsi="Times New Roman" w:eastAsia="仿宋_GB2312" w:cs="Times New Roman"/>
          <w:bCs/>
          <w:sz w:val="32"/>
          <w:szCs w:val="32"/>
        </w:rPr>
        <w:t>现代陶瓷</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电子信息</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通用航空</w:t>
      </w:r>
      <w:r>
        <w:rPr>
          <w:rFonts w:ascii="Times New Roman" w:hAnsi="Times New Roman" w:eastAsia="仿宋_GB2312" w:cs="Times New Roman"/>
          <w:bCs/>
          <w:sz w:val="32"/>
          <w:szCs w:val="32"/>
        </w:rPr>
        <w:t>等产业依托专业型工业园区（小微企业园），统筹构建企业、园区、行业间链接共生、原料互供、资源共享的绿色产业园，支持</w:t>
      </w:r>
      <w:r>
        <w:rPr>
          <w:rFonts w:hint="eastAsia" w:ascii="Times New Roman" w:hAnsi="Times New Roman" w:eastAsia="仿宋_GB2312" w:cs="Times New Roman"/>
          <w:bCs/>
          <w:sz w:val="32"/>
          <w:szCs w:val="32"/>
        </w:rPr>
        <w:t>浮梁产业园</w:t>
      </w:r>
      <w:r>
        <w:rPr>
          <w:rFonts w:ascii="Times New Roman" w:hAnsi="Times New Roman" w:eastAsia="仿宋_GB2312" w:cs="Times New Roman"/>
          <w:bCs/>
          <w:sz w:val="32"/>
          <w:szCs w:val="32"/>
        </w:rPr>
        <w:t>建设省级</w:t>
      </w:r>
      <w:r>
        <w:rPr>
          <w:rFonts w:hint="eastAsia" w:ascii="Times New Roman" w:hAnsi="Times New Roman" w:eastAsia="仿宋_GB2312" w:cs="Times New Roman"/>
          <w:bCs/>
          <w:sz w:val="32"/>
          <w:szCs w:val="32"/>
        </w:rPr>
        <w:t>绿色</w:t>
      </w:r>
      <w:r>
        <w:rPr>
          <w:rFonts w:ascii="Times New Roman" w:hAnsi="Times New Roman" w:eastAsia="仿宋_GB2312" w:cs="Times New Roman"/>
          <w:bCs/>
          <w:sz w:val="32"/>
          <w:szCs w:val="32"/>
        </w:rPr>
        <w:t>园区，提高资源循环利用水平，适当超前建设必要的环保设施。继续加大强制性清洁生产审核力度，限期淘汰造成环境污染较为严重的落后生产技术、工艺、设备和产品，加快实现落后产能退出。以源头削减污染物产生为切入点，支持有基础、有条件的企业加大技术改造力度，革新传统生产工艺装备，积极采用先进适用的清洁生产工艺和装备，力争实现绿色产品占比的显著提升和主要污染物排放强度、能耗强度的稳步下降。</w:t>
      </w:r>
    </w:p>
    <w:p>
      <w:pPr>
        <w:spacing w:before="156" w:beforeLines="50" w:line="560" w:lineRule="exact"/>
        <w:ind w:firstLine="643" w:firstLineChars="200"/>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三、探索推进服务业绿色发展</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推进物流领域全过程绿色化、低碳化发展，支持物流园区建立智慧物流系统，支持物流企业开展智能化改造，提高物流自动化、数字化、智能化水平</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支持制造企业充分考虑全生命周期物流跟踪管理，推动产品包装和物流器具绿色化、减量化、循环化。支持大型商业网点、商务楼宇、大型公共设施等开展低碳节能改造，引导相关企业提供绿色优质产品和服务。壮大绿色低碳第三方服务业，培育壮大节能环保、生态治理、环境评估等环境服务公司，增强绿色生产服务能力。支持金融保险机构积极开发绿色信贷、绿色债券、绿色基金、绿色保险等产品，激励更多社会资本投入到绿色产业，壮大绿色金融产业。</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四、培育壮大绿色循环产业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健全固体废弃物收集和回收利用体系，扶持建设专业处理工业固废、城市污泥、建筑垃圾等废弃物的资源循环利用产业</w:t>
      </w:r>
      <w:r>
        <w:rPr>
          <w:rFonts w:hint="eastAsia" w:ascii="Times New Roman" w:hAnsi="Times New Roman" w:eastAsia="仿宋_GB2312" w:cs="Times New Roman"/>
          <w:bCs/>
          <w:sz w:val="32"/>
          <w:szCs w:val="32"/>
        </w:rPr>
        <w:t>基地</w:t>
      </w:r>
      <w:r>
        <w:rPr>
          <w:rFonts w:ascii="Times New Roman" w:hAnsi="Times New Roman" w:eastAsia="仿宋_GB2312" w:cs="Times New Roman"/>
          <w:bCs/>
          <w:sz w:val="32"/>
          <w:szCs w:val="32"/>
        </w:rPr>
        <w:t>。培育森林康养产业，坚持林旅融合、医养并重，推出一批以特色医疗、疗养康复、森林康养等为主题的康养旅游产品，建设森林康养综合体。</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五、提升安全生产水平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加强应急安全管理，建立安全生产应急联动机制。加强安全隐患排查，开展安全生产专项整治。推动企业开展安全生产技术（装备）改造，加强安全生产不达标的工艺、技术和装备淘汰力度。培育安全生产服务机构，提高安全咨询、安全教育培训、安全评价、安全检测检验、职业卫生等第三方社会化服务供给能力。</w:t>
      </w:r>
    </w:p>
    <w:p>
      <w:pPr>
        <w:keepNext w:val="0"/>
        <w:keepLines w:val="0"/>
        <w:pageBreakBefore w:val="0"/>
        <w:widowControl w:val="0"/>
        <w:tabs>
          <w:tab w:val="left" w:pos="2268"/>
        </w:tabs>
        <w:kinsoku/>
        <w:wordWrap/>
        <w:overflowPunct/>
        <w:topLinePunct w:val="0"/>
        <w:autoSpaceDE/>
        <w:autoSpaceDN/>
        <w:bidi w:val="0"/>
        <w:adjustRightInd w:val="0"/>
        <w:snapToGrid w:val="0"/>
        <w:spacing w:before="156" w:beforeLines="50" w:line="560" w:lineRule="exact"/>
        <w:jc w:val="center"/>
        <w:textAlignment w:val="auto"/>
        <w:outlineLvl w:val="1"/>
        <w:rPr>
          <w:rFonts w:ascii="Times New Roman" w:hAnsi="Times New Roman" w:eastAsia="黑体" w:cs="Times New Roman"/>
          <w:sz w:val="32"/>
          <w:szCs w:val="32"/>
        </w:rPr>
      </w:pPr>
      <w:bookmarkStart w:id="49" w:name="_Toc20624"/>
      <w:r>
        <w:rPr>
          <w:rFonts w:hint="eastAsia" w:ascii="Times New Roman" w:hAnsi="Times New Roman" w:eastAsia="黑体" w:cs="Times New Roman"/>
          <w:sz w:val="32"/>
          <w:szCs w:val="32"/>
        </w:rPr>
        <w:t>第六节  实施人才服务促进行动</w:t>
      </w:r>
      <w:bookmarkEnd w:id="49"/>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突出高端、亟须优先、梯次配置</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的人才培养理念，加快建设支撑</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现代产业体系构建和高质量发展需要的梯次人才队伍，打造</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人才高地</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一、加强新时代企业家队伍建设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深入实施</w:t>
      </w:r>
      <w:r>
        <w:rPr>
          <w:rFonts w:hint="eastAsia" w:ascii="Times New Roman" w:hAnsi="Times New Roman" w:eastAsia="仿宋_GB2312" w:cs="Times New Roman"/>
          <w:bCs/>
          <w:sz w:val="32"/>
          <w:szCs w:val="32"/>
        </w:rPr>
        <w:t>先行区</w:t>
      </w:r>
      <w:r>
        <w:rPr>
          <w:rFonts w:hint="eastAsia" w:ascii="Times New Roman" w:hAnsi="Times New Roman" w:eastAsia="仿宋_GB2312" w:cs="Times New Roman"/>
          <w:bCs/>
          <w:sz w:val="32"/>
          <w:szCs w:val="32"/>
          <w:lang w:val="en-US" w:eastAsia="zh-CN"/>
        </w:rPr>
        <w:t>四上</w:t>
      </w:r>
      <w:r>
        <w:rPr>
          <w:rFonts w:ascii="Times New Roman" w:hAnsi="Times New Roman" w:eastAsia="仿宋_GB2312" w:cs="Times New Roman"/>
          <w:bCs/>
          <w:sz w:val="32"/>
          <w:szCs w:val="32"/>
        </w:rPr>
        <w:t>企业新生代企业家培养行动，拓展提升企业家和企业高层次管理人才全球视野、战略思维和创新能力。支持</w:t>
      </w:r>
      <w:r>
        <w:rPr>
          <w:rFonts w:hint="eastAsia" w:ascii="Times New Roman" w:hAnsi="Times New Roman" w:eastAsia="仿宋_GB2312" w:cs="Times New Roman"/>
          <w:bCs/>
          <w:sz w:val="32"/>
          <w:szCs w:val="32"/>
        </w:rPr>
        <w:t>域内</w:t>
      </w:r>
      <w:r>
        <w:rPr>
          <w:rFonts w:ascii="Times New Roman" w:hAnsi="Times New Roman" w:eastAsia="仿宋_GB2312" w:cs="Times New Roman"/>
          <w:bCs/>
          <w:sz w:val="32"/>
          <w:szCs w:val="32"/>
        </w:rPr>
        <w:t>高校、培训机构建立</w:t>
      </w:r>
      <w:r>
        <w:rPr>
          <w:rFonts w:hint="eastAsia" w:ascii="Times New Roman" w:hAnsi="Times New Roman" w:eastAsia="仿宋_GB2312" w:cs="Times New Roman"/>
          <w:bCs/>
          <w:sz w:val="32"/>
          <w:szCs w:val="32"/>
        </w:rPr>
        <w:t>企业家</w:t>
      </w:r>
      <w:r>
        <w:rPr>
          <w:rFonts w:ascii="Times New Roman" w:hAnsi="Times New Roman" w:eastAsia="仿宋_GB2312" w:cs="Times New Roman"/>
          <w:bCs/>
          <w:sz w:val="32"/>
          <w:szCs w:val="32"/>
        </w:rPr>
        <w:t>培训基地，组织开展宏观经济形势、行业发展趋势、现代企业管理、数字化改造、财务税务、电子商务、质量管理、劳动关系、现代农业等专题培训和学习考察活动，积极开展争创企业专题示范活动，逐步提高中小微企业管理能力。积极</w:t>
      </w:r>
      <w:r>
        <w:rPr>
          <w:rFonts w:hint="eastAsia" w:ascii="Times New Roman" w:hAnsi="Times New Roman" w:eastAsia="仿宋_GB2312" w:cs="Times New Roman"/>
          <w:bCs/>
          <w:sz w:val="32"/>
          <w:szCs w:val="32"/>
        </w:rPr>
        <w:t>组织</w:t>
      </w:r>
      <w:r>
        <w:rPr>
          <w:rFonts w:ascii="Times New Roman" w:hAnsi="Times New Roman" w:eastAsia="仿宋_GB2312" w:cs="Times New Roman"/>
          <w:bCs/>
          <w:sz w:val="32"/>
          <w:szCs w:val="32"/>
        </w:rPr>
        <w:t>参与省、市政府举办的创业大赛、人才交流和项目合作活动等，组织</w:t>
      </w:r>
      <w:r>
        <w:rPr>
          <w:rFonts w:hint="eastAsia" w:ascii="Times New Roman" w:hAnsi="Times New Roman" w:eastAsia="仿宋_GB2312" w:cs="Times New Roman"/>
          <w:bCs/>
          <w:sz w:val="32"/>
          <w:szCs w:val="32"/>
        </w:rPr>
        <w:t>域内</w:t>
      </w:r>
      <w:r>
        <w:rPr>
          <w:rFonts w:ascii="Times New Roman" w:hAnsi="Times New Roman" w:eastAsia="仿宋_GB2312" w:cs="Times New Roman"/>
          <w:bCs/>
          <w:sz w:val="32"/>
          <w:szCs w:val="32"/>
        </w:rPr>
        <w:t>企业开展创业创新大赛和专项交流活动，支持科研人员兼职创新、在职或离岗创办企业，推动更多创新人才带专利、项目、团队创业。完善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亩均论英雄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，把人才密度、创新强度作为重要评价指标。</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二、精准引进高层次人才和团队</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抓住全球人才流动呈现新格局和国内人才柔性利用机制大创新的机遇，针对性引进和利用适应</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发展需要的高层次人才和创新型队伍。支持行业领军型头部企业、省级高新技术企业、高能级创新平台实施</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全球精英引进计划</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，大力引进和柔性利用海内外高层次人才、领军型团队和人才。</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ascii="Times New Roman" w:hAnsi="Times New Roman" w:eastAsia="楷体_GB2312" w:cs="Times New Roman"/>
          <w:sz w:val="32"/>
          <w:szCs w:val="22"/>
        </w:rPr>
      </w:pPr>
      <w:r>
        <w:rPr>
          <w:rFonts w:hint="eastAsia" w:ascii="Times New Roman" w:hAnsi="Times New Roman" w:eastAsia="楷体_GB2312" w:cs="Times New Roman"/>
          <w:b/>
          <w:bCs/>
          <w:sz w:val="32"/>
          <w:szCs w:val="22"/>
        </w:rPr>
        <w:t>三、注重培养专业型技术型人才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bCs/>
          <w:sz w:val="32"/>
          <w:szCs w:val="32"/>
        </w:rPr>
      </w:pPr>
      <w:r>
        <w:rPr>
          <w:rFonts w:ascii="Times New Roman" w:hAnsi="Times New Roman" w:eastAsia="仿宋_GB2312" w:cs="Times New Roman"/>
          <w:bCs/>
          <w:sz w:val="32"/>
          <w:szCs w:val="32"/>
        </w:rPr>
        <w:t>健全高技能人才政府补贴制度，推动实施</w:t>
      </w:r>
      <w:r>
        <w:rPr>
          <w:rFonts w:hint="eastAsia" w:ascii="Times New Roman" w:hAnsi="Times New Roman" w:eastAsia="仿宋_GB2312" w:cs="Times New Roman"/>
          <w:bCs/>
          <w:sz w:val="32"/>
          <w:szCs w:val="32"/>
        </w:rPr>
        <w:t>技能型人才</w:t>
      </w:r>
      <w:r>
        <w:rPr>
          <w:rFonts w:ascii="Times New Roman" w:hAnsi="Times New Roman" w:eastAsia="仿宋_GB2312" w:cs="Times New Roman"/>
          <w:bCs/>
          <w:sz w:val="32"/>
          <w:szCs w:val="32"/>
        </w:rPr>
        <w:t>职业技能提升行动，努力扩大高技能人才队伍。推广</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双元制</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职业教育模式，鼓励龙头企业联合</w:t>
      </w:r>
      <w:r>
        <w:rPr>
          <w:rFonts w:hint="eastAsia" w:ascii="Times New Roman" w:hAnsi="Times New Roman" w:eastAsia="仿宋_GB2312" w:cs="Times New Roman"/>
          <w:bCs/>
          <w:sz w:val="32"/>
          <w:szCs w:val="32"/>
        </w:rPr>
        <w:t>江西陶瓷工艺美术职业技术学院</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景德镇陶瓷职业技术学院等高职院校</w:t>
      </w:r>
      <w:r>
        <w:rPr>
          <w:rFonts w:ascii="Times New Roman" w:hAnsi="Times New Roman" w:eastAsia="仿宋_GB2312" w:cs="Times New Roman"/>
          <w:bCs/>
          <w:sz w:val="32"/>
          <w:szCs w:val="32"/>
        </w:rPr>
        <w:t>，合作建设产业学院、技师学院，并建立健全校企联合招生、联合培养、一体化育人的长效机制，大规模开展高水平的职业技能培训，促进本地各类技能型人才培养。注重名家大师技艺传承，遴选培育一批优秀工匠，落实绝技绝活代际传承。以物流、旅游、文化、卫生、家政等为主要内容，针对性开展现代服务业技能人才培训，提高标准化服务水平和服务质量。面向种养大户、家庭农场主、农民合作社骨干、农业社会化服务人员和返乡涉农创业者，以提高生产经营能力和专业技能为目标，开展分层分类培训，培育一批新型职业农民和农业技术人才。</w:t>
      </w:r>
    </w:p>
    <w:p>
      <w:pPr>
        <w:tabs>
          <w:tab w:val="left" w:pos="2268"/>
        </w:tabs>
        <w:adjustRightInd w:val="0"/>
        <w:snapToGrid w:val="0"/>
        <w:spacing w:before="156" w:beforeLines="50" w:line="360" w:lineRule="auto"/>
        <w:jc w:val="center"/>
        <w:outlineLvl w:val="1"/>
        <w:rPr>
          <w:rFonts w:ascii="Times New Roman" w:hAnsi="Times New Roman" w:eastAsia="黑体" w:cs="Times New Roman"/>
          <w:sz w:val="32"/>
          <w:szCs w:val="32"/>
        </w:rPr>
      </w:pPr>
      <w:bookmarkStart w:id="50" w:name="_Toc749"/>
      <w:r>
        <w:rPr>
          <w:rFonts w:hint="eastAsia" w:ascii="Times New Roman" w:hAnsi="Times New Roman" w:eastAsia="黑体" w:cs="Times New Roman"/>
          <w:sz w:val="32"/>
          <w:szCs w:val="32"/>
        </w:rPr>
        <w:t>第七节  实施精准招商引资行动</w:t>
      </w:r>
      <w:bookmarkEnd w:id="50"/>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一、包装策划重大产业项目</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综合省</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rPr>
        <w:t>优强</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项目评选要求和</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现代产业体系构建导向，以先进制造、战略新兴、文化旅游、现代物流、农旅融合等行业为重点，加大</w:t>
      </w:r>
      <w:r>
        <w:rPr>
          <w:rFonts w:hint="eastAsia" w:ascii="Times New Roman" w:hAnsi="Times New Roman" w:eastAsia="仿宋_GB2312" w:cs="Times New Roman"/>
          <w:bCs/>
          <w:sz w:val="32"/>
          <w:szCs w:val="32"/>
        </w:rPr>
        <w:t>优强项目</w:t>
      </w:r>
      <w:r>
        <w:rPr>
          <w:rFonts w:ascii="Times New Roman" w:hAnsi="Times New Roman" w:eastAsia="仿宋_GB2312" w:cs="Times New Roman"/>
          <w:bCs/>
          <w:sz w:val="32"/>
          <w:szCs w:val="32"/>
        </w:rPr>
        <w:t>包装策划工作，力争年均有</w:t>
      </w:r>
      <w:r>
        <w:rPr>
          <w:rFonts w:hint="eastAsia" w:ascii="Times New Roman" w:hAnsi="Times New Roman" w:eastAsia="仿宋_GB2312" w:cs="Times New Roman"/>
          <w:bCs/>
          <w:sz w:val="32"/>
          <w:szCs w:val="32"/>
        </w:rPr>
        <w:t>1</w:t>
      </w:r>
      <w:r>
        <w:rPr>
          <w:rFonts w:ascii="Times New Roman" w:hAnsi="Times New Roman" w:eastAsia="仿宋_GB2312" w:cs="Times New Roman"/>
          <w:bCs/>
          <w:sz w:val="32"/>
          <w:szCs w:val="32"/>
        </w:rPr>
        <w:t>个重大产业项目列入省级名单。成立由</w:t>
      </w:r>
      <w:r>
        <w:rPr>
          <w:rFonts w:hint="eastAsia" w:ascii="Times New Roman" w:hAnsi="Times New Roman" w:eastAsia="仿宋_GB2312" w:cs="Times New Roman"/>
          <w:bCs/>
          <w:sz w:val="32"/>
          <w:szCs w:val="32"/>
        </w:rPr>
        <w:t>管委会</w:t>
      </w:r>
      <w:r>
        <w:rPr>
          <w:rFonts w:ascii="Times New Roman" w:hAnsi="Times New Roman" w:eastAsia="仿宋_GB2312" w:cs="Times New Roman"/>
          <w:bCs/>
          <w:sz w:val="32"/>
          <w:szCs w:val="32"/>
        </w:rPr>
        <w:t>主要领导为组长的重大产业项目协调推进工作领导小组，加强重大产业项目组织领导。建立</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围绕一个重大产业项目，安排一位县级联系领导，落实一个牵头责任单位，成立一个项目工作专班，制定一套项目推进工作方案</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的</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五个一</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工作机制。加强督导落实，实现项目落地施工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高效率</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二、利用产业地图招商</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按照区域、乡镇、平台三个层面编制实施</w:t>
      </w:r>
      <w:r>
        <w:rPr>
          <w:rFonts w:hint="eastAsia" w:ascii="Times New Roman" w:hAnsi="Times New Roman" w:eastAsia="仿宋_GB2312" w:cs="Times New Roman"/>
          <w:bCs/>
          <w:sz w:val="32"/>
          <w:szCs w:val="32"/>
        </w:rPr>
        <w:t>先行区</w:t>
      </w:r>
      <w:r>
        <w:rPr>
          <w:rFonts w:ascii="Times New Roman" w:hAnsi="Times New Roman" w:eastAsia="仿宋_GB2312" w:cs="Times New Roman"/>
          <w:bCs/>
          <w:sz w:val="32"/>
          <w:szCs w:val="32"/>
        </w:rPr>
        <w:t>精准招商引资地图，整合形成</w:t>
      </w:r>
      <w:r>
        <w:rPr>
          <w:rFonts w:hint="eastAsia" w:ascii="Times New Roman" w:hAnsi="Times New Roman" w:eastAsia="仿宋_GB2312" w:cs="Times New Roman"/>
          <w:bCs/>
          <w:sz w:val="32"/>
          <w:szCs w:val="32"/>
        </w:rPr>
        <w:t>全域</w:t>
      </w:r>
      <w:r>
        <w:rPr>
          <w:rFonts w:ascii="Times New Roman" w:hAnsi="Times New Roman" w:eastAsia="仿宋_GB2312" w:cs="Times New Roman"/>
          <w:bCs/>
          <w:sz w:val="32"/>
          <w:szCs w:val="32"/>
        </w:rPr>
        <w:t>产业招商地图，并由相关部门、乡镇、产业平台进行深化落实。</w:t>
      </w:r>
      <w:r>
        <w:rPr>
          <w:rFonts w:hint="eastAsia" w:ascii="Times New Roman" w:hAnsi="Times New Roman" w:eastAsia="仿宋_GB2312" w:cs="Times New Roman"/>
          <w:bCs/>
          <w:sz w:val="32"/>
          <w:szCs w:val="32"/>
        </w:rPr>
        <w:t>管委会</w:t>
      </w:r>
      <w:r>
        <w:rPr>
          <w:rFonts w:ascii="Times New Roman" w:hAnsi="Times New Roman" w:eastAsia="仿宋_GB2312" w:cs="Times New Roman"/>
          <w:bCs/>
          <w:sz w:val="32"/>
          <w:szCs w:val="32"/>
        </w:rPr>
        <w:t>层面主要面向重大平台、重大产业（战略新兴）、重大项目和重点区域领域，以招引省市级重大产业项目为目标。</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三、完善招商引资机制和政策</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健全重大产业项目组织领导机制，完善重大产业项目库和重大招商项目联合预审机制，强化定向招商、以商招商、产业基金招商、产业链招商等招商方式创新，优化</w:t>
      </w:r>
      <w:r>
        <w:rPr>
          <w:rFonts w:hint="eastAsia" w:ascii="Times New Roman" w:hAnsi="Times New Roman" w:eastAsia="仿宋_GB2312" w:cs="Times New Roman"/>
          <w:bCs/>
          <w:sz w:val="32"/>
          <w:szCs w:val="32"/>
        </w:rPr>
        <w:t>招商营商环境</w:t>
      </w:r>
      <w:r>
        <w:rPr>
          <w:rFonts w:ascii="Times New Roman" w:hAnsi="Times New Roman" w:eastAsia="仿宋_GB2312" w:cs="Times New Roman"/>
          <w:bCs/>
          <w:sz w:val="32"/>
          <w:szCs w:val="32"/>
        </w:rPr>
        <w:t>和招商引资政策，配优建强招商队伍，顺利推进落地项目。</w:t>
      </w:r>
    </w:p>
    <w:p>
      <w:pPr>
        <w:widowControl/>
        <w:jc w:val="left"/>
        <w:rPr>
          <w:rFonts w:ascii="Times New Roman" w:hAnsi="Times New Roman" w:eastAsia="黑体" w:cs="Times New Roman"/>
          <w:sz w:val="36"/>
          <w:szCs w:val="36"/>
        </w:rPr>
      </w:pPr>
      <w:r>
        <w:rPr>
          <w:rFonts w:ascii="Times New Roman" w:hAnsi="Times New Roman" w:eastAsia="黑体" w:cs="Times New Roman"/>
          <w:sz w:val="36"/>
          <w:szCs w:val="36"/>
        </w:rPr>
        <w:br w:type="page"/>
      </w:r>
    </w:p>
    <w:p>
      <w:pPr>
        <w:tabs>
          <w:tab w:val="left" w:pos="2268"/>
        </w:tabs>
        <w:adjustRightInd w:val="0"/>
        <w:snapToGrid w:val="0"/>
        <w:spacing w:before="156" w:beforeLines="50" w:line="360" w:lineRule="auto"/>
        <w:jc w:val="center"/>
        <w:outlineLvl w:val="0"/>
        <w:rPr>
          <w:rFonts w:ascii="Times New Roman" w:hAnsi="Times New Roman" w:eastAsia="黑体" w:cs="Times New Roman"/>
          <w:sz w:val="36"/>
          <w:szCs w:val="36"/>
        </w:rPr>
      </w:pPr>
      <w:bookmarkStart w:id="51" w:name="_Toc891"/>
      <w:r>
        <w:rPr>
          <w:rFonts w:ascii="Times New Roman" w:hAnsi="Times New Roman" w:eastAsia="黑体" w:cs="Times New Roman"/>
          <w:sz w:val="36"/>
          <w:szCs w:val="36"/>
        </w:rPr>
        <w:t>第</w:t>
      </w:r>
      <w:r>
        <w:rPr>
          <w:rFonts w:hint="eastAsia" w:ascii="Times New Roman" w:hAnsi="Times New Roman" w:eastAsia="黑体" w:cs="Times New Roman"/>
          <w:sz w:val="36"/>
          <w:szCs w:val="36"/>
        </w:rPr>
        <w:t>五</w:t>
      </w:r>
      <w:r>
        <w:rPr>
          <w:rFonts w:ascii="Times New Roman" w:hAnsi="Times New Roman" w:eastAsia="黑体" w:cs="Times New Roman"/>
          <w:sz w:val="36"/>
          <w:szCs w:val="36"/>
        </w:rPr>
        <w:t>章</w:t>
      </w:r>
      <w:r>
        <w:rPr>
          <w:rFonts w:hint="eastAsia" w:ascii="Times New Roman" w:hAnsi="Times New Roman" w:eastAsia="黑体" w:cs="Times New Roman"/>
          <w:sz w:val="36"/>
          <w:szCs w:val="36"/>
        </w:rPr>
        <w:t xml:space="preserve"> </w:t>
      </w:r>
      <w:r>
        <w:rPr>
          <w:rFonts w:ascii="Times New Roman" w:hAnsi="Times New Roman" w:eastAsia="黑体" w:cs="Times New Roman"/>
          <w:sz w:val="36"/>
          <w:szCs w:val="36"/>
        </w:rPr>
        <w:t xml:space="preserve"> 保障措施</w:t>
      </w:r>
      <w:bookmarkEnd w:id="51"/>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一、加强组织领导</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成立</w:t>
      </w:r>
      <w:r>
        <w:rPr>
          <w:rFonts w:hint="eastAsia" w:ascii="Times New Roman" w:hAnsi="Times New Roman" w:eastAsia="仿宋_GB2312" w:cs="Times New Roman"/>
          <w:bCs/>
          <w:sz w:val="32"/>
          <w:szCs w:val="32"/>
        </w:rPr>
        <w:t>先行区管委会</w:t>
      </w:r>
      <w:r>
        <w:rPr>
          <w:rFonts w:hint="eastAsia" w:ascii="Times New Roman" w:hAnsi="Times New Roman" w:eastAsia="仿宋_GB2312" w:cs="Times New Roman"/>
          <w:bCs/>
          <w:sz w:val="32"/>
          <w:szCs w:val="32"/>
          <w:lang w:val="en-US" w:eastAsia="zh-CN"/>
        </w:rPr>
        <w:t>和乡镇主要领导组成的产业发展领导小组。</w:t>
      </w:r>
      <w:r>
        <w:rPr>
          <w:rFonts w:hint="eastAsia" w:ascii="Times New Roman" w:hAnsi="Times New Roman" w:eastAsia="仿宋_GB2312" w:cs="Times New Roman"/>
          <w:bCs/>
          <w:sz w:val="32"/>
          <w:szCs w:val="32"/>
        </w:rPr>
        <w:t>先行区管委会</w:t>
      </w:r>
      <w:r>
        <w:rPr>
          <w:rFonts w:ascii="Times New Roman" w:hAnsi="Times New Roman" w:eastAsia="仿宋_GB2312" w:cs="Times New Roman"/>
          <w:bCs/>
          <w:sz w:val="32"/>
          <w:szCs w:val="32"/>
        </w:rPr>
        <w:t>统筹协调各主导产业的发展，研究提出促进主导产业发展的政策措施并协调解决相关问题，督促检查相关意见的贯彻落实等。实行</w:t>
      </w:r>
      <w:r>
        <w:rPr>
          <w:rFonts w:hint="eastAsia" w:ascii="Times New Roman" w:hAnsi="Times New Roman" w:eastAsia="仿宋_GB2312" w:cs="Times New Roman"/>
          <w:bCs/>
          <w:sz w:val="32"/>
          <w:szCs w:val="32"/>
        </w:rPr>
        <w:t>管委会、乡镇</w:t>
      </w:r>
      <w:r>
        <w:rPr>
          <w:rFonts w:ascii="Times New Roman" w:hAnsi="Times New Roman" w:eastAsia="仿宋_GB2312" w:cs="Times New Roman"/>
          <w:bCs/>
          <w:sz w:val="32"/>
          <w:szCs w:val="32"/>
        </w:rPr>
        <w:t>层面旬调度制度，</w:t>
      </w:r>
      <w:r>
        <w:rPr>
          <w:rFonts w:hint="eastAsia" w:ascii="Times New Roman" w:hAnsi="Times New Roman" w:eastAsia="仿宋_GB2312" w:cs="Times New Roman"/>
          <w:bCs/>
          <w:sz w:val="32"/>
          <w:szCs w:val="32"/>
        </w:rPr>
        <w:t>管委会</w:t>
      </w:r>
      <w:r>
        <w:rPr>
          <w:rFonts w:ascii="Times New Roman" w:hAnsi="Times New Roman" w:eastAsia="仿宋_GB2312" w:cs="Times New Roman"/>
          <w:bCs/>
          <w:sz w:val="32"/>
          <w:szCs w:val="32"/>
        </w:rPr>
        <w:t>定期召开领导小组季度会、月度会、项目推进旬度会，部署、协调和督办重大基础设施建设和重大投资项目落实，切实加强对产业发展工作的指导。领导小组下设专项小组，负责推进实施各专项行动计划。领导小组对各部门推进产业发展情况组织综合或专项督查，并通报督查结果，发现问题，及时整改。</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二、优化产业政策</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进一步梳理先行区产业政策，清理和废除“不吻合行政区划、不顺应发展趋势、不符合产业规律、不适应现实需要、不具备兑现条件、不明确兑现流程”的“六不”产业政策，按照“一个产业一个政策”的要求，制定出台主导产业政策，统一明确对相关领域企业的落户奖励、用地保障、“上规”奖励、达产奖励、中介招商奖励，成为先行区产业政策的“四梁八柱”。根据市县产业政策，推动产业平台制定出台入园门槛、招商引资等政策，推动产业平台向主导产业清晰的集群化发展局面转型。</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三、加强资金保障</w:t>
      </w:r>
    </w:p>
    <w:p>
      <w:pPr>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完善资金支持方式，优先支持重点产业、重点平台、重点项目、重点企业。探索设立先行区投资公司，授权区域范围内基础设施建设、土地开发和国有资产运营等权限，通过财政资金划拨、专项债券发行、战略投资机构引进等途径，增强公司资本实力、开发建设能力和招商运营水平。探索设立先行区产业发展基金，争取省市专项资金支持，综合用于龙头企业培育、科技创新投入、重大技术改造、重大产业项目引入等，并引入市场化运作机制，提高基金运作效率。全面推进“融资畅通”工程，用好用足国家试验区支持深化民营和小微企业金融服务综合改革试点红利，推进民企融资服务平台建设，完善政府性融资担保机构运行机制，更好支持民营和小微企业融资。引导金融机构创新贷款方式，完善和健全中小企业信用担保体系、贷款风险补偿机制，积极推进科技信贷、创业投资、科技保险、知识产权质押等金融产品创新。积极实施“映山红行动”，推动企业股改，挖掘企业上市后备资源，争取一批企业上市，扩大上市融资和再融资规模。推进融资超市、转贷平台、金融发展，缓解中小企业贷款“难贵慢”问题。</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四、强化项目支撑</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发挥重大工程、重大项目的示范和带动作用，围绕加快转型发展、改善民生、加强公共服务和基础设施建设，重点组织实施事关全局和长远发展重大项目</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以规划带动项目建设，以项目促进规划落实。加强项目谋划，优先谋划实施事关经济社会发展全局、技术含量高、经济效益好、带动能力强的重大项目，推进更多的项目进入国家和省、市规划布局，形成规划期内竣工一批、启动一批、储备一批的滚动发展机制。加强项目管理，完善和落实重点项目协调推进机制，集中力量保证重点项目需要，对属于政府职责的重大项目，要合理利用政府财力，周密组织，科学实施，强化层级互动，落实主体责任，依法依规推进建设。深入落实领导联系重点项目制度，建立督新建保开工、督续建保竣工、督竣工保达产、督储备保转化</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四督四保</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推进机制，着力提高开工率、竣工率、达产率和转化率。</w:t>
      </w:r>
    </w:p>
    <w:p>
      <w:pPr>
        <w:keepNext w:val="0"/>
        <w:keepLines w:val="0"/>
        <w:pageBreakBefore w:val="0"/>
        <w:widowControl w:val="0"/>
        <w:kinsoku/>
        <w:wordWrap/>
        <w:overflowPunct/>
        <w:topLinePunct w:val="0"/>
        <w:autoSpaceDE/>
        <w:autoSpaceDN/>
        <w:bidi w:val="0"/>
        <w:spacing w:before="156" w:beforeLines="50" w:line="560" w:lineRule="exact"/>
        <w:ind w:firstLine="643" w:firstLineChars="200"/>
        <w:textAlignment w:val="auto"/>
        <w:rPr>
          <w:rFonts w:hint="eastAsia" w:ascii="Times New Roman" w:hAnsi="Times New Roman" w:eastAsia="楷体_GB2312" w:cs="Times New Roman"/>
          <w:b/>
          <w:bCs/>
          <w:sz w:val="32"/>
          <w:szCs w:val="22"/>
        </w:rPr>
      </w:pPr>
      <w:r>
        <w:rPr>
          <w:rFonts w:hint="eastAsia" w:ascii="Times New Roman" w:hAnsi="Times New Roman" w:eastAsia="楷体_GB2312" w:cs="Times New Roman"/>
          <w:b/>
          <w:bCs/>
          <w:sz w:val="32"/>
          <w:szCs w:val="22"/>
        </w:rPr>
        <w:t>五、优化发展环境</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优化发展环境。坚持全面从严治党，加强廉政建设，弘扬</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三严三实</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作风，按照</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三个区分开来</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宽容干部在工作中特别是改革创新中的失误，旗帜鲜明为敢于担当的干部担当，为敢于负责的干部负责，完善懒政怠政的问责机制，引导广大干部保持良好精神状态，奋发有为、敢于担当。大力优化政务环境、投资环境、法治环境。积极帮助解决企业发展中的困难和问题，构建项目审批、项目建设</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一站式</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一条龙</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服务体系，简化审批程序，缩短办事时限，提高办事效率。严厉打击干扰施工环境、强买强卖、强揽工程等不法行为，保障重点项目顺利推进。</w:t>
      </w:r>
    </w:p>
    <w:p>
      <w:pPr>
        <w:pStyle w:val="7"/>
        <w:rPr>
          <w:rFonts w:hint="default" w:ascii="Times New Roman" w:hAnsi="Times New Roman" w:eastAsia="仿宋_GB2312" w:cs="Times New Roman"/>
          <w:bCs/>
          <w:sz w:val="32"/>
          <w:szCs w:val="32"/>
          <w:lang w:eastAsia="zh-CN"/>
        </w:rPr>
      </w:pPr>
    </w:p>
    <w:p>
      <w:pPr>
        <w:rPr>
          <w:rFonts w:ascii="Times New Roman" w:hAnsi="Times New Roman" w:eastAsia="黑体" w:cs="Times New Roman"/>
          <w:sz w:val="36"/>
          <w:szCs w:val="36"/>
        </w:rPr>
        <w:sectPr>
          <w:footerReference r:id="rId4" w:type="default"/>
          <w:pgSz w:w="11906" w:h="16838"/>
          <w:pgMar w:top="1440" w:right="1800" w:bottom="1440" w:left="1800" w:header="851" w:footer="992" w:gutter="0"/>
          <w:pgNumType w:fmt="decimal"/>
          <w:cols w:space="425" w:num="1"/>
          <w:docGrid w:type="lines" w:linePitch="312" w:charSpace="0"/>
        </w:sectPr>
      </w:pPr>
    </w:p>
    <w:p>
      <w:pPr>
        <w:tabs>
          <w:tab w:val="left" w:pos="2268"/>
        </w:tabs>
        <w:adjustRightInd w:val="0"/>
        <w:snapToGrid w:val="0"/>
        <w:spacing w:before="120" w:beforeLines="50" w:line="360" w:lineRule="auto"/>
        <w:jc w:val="center"/>
        <w:outlineLvl w:val="0"/>
        <w:rPr>
          <w:rFonts w:ascii="Times New Roman" w:hAnsi="Times New Roman" w:eastAsia="黑体" w:cs="Times New Roman"/>
          <w:sz w:val="36"/>
          <w:szCs w:val="36"/>
        </w:rPr>
      </w:pPr>
      <w:bookmarkStart w:id="52" w:name="_Toc14543"/>
      <w:bookmarkStart w:id="53" w:name="_Toc32072"/>
      <w:r>
        <w:rPr>
          <w:rFonts w:hint="eastAsia" w:ascii="Times New Roman" w:hAnsi="Times New Roman" w:eastAsia="黑体" w:cs="Times New Roman"/>
          <w:sz w:val="36"/>
          <w:szCs w:val="36"/>
        </w:rPr>
        <w:t xml:space="preserve">附件 </w:t>
      </w:r>
      <w:r>
        <w:rPr>
          <w:rFonts w:ascii="Times New Roman" w:hAnsi="Times New Roman" w:eastAsia="黑体" w:cs="Times New Roman"/>
          <w:sz w:val="36"/>
          <w:szCs w:val="36"/>
        </w:rPr>
        <w:t xml:space="preserve"> </w:t>
      </w:r>
      <w:r>
        <w:rPr>
          <w:rFonts w:hint="eastAsia" w:ascii="Times New Roman" w:hAnsi="Times New Roman" w:eastAsia="黑体" w:cs="Times New Roman"/>
          <w:sz w:val="36"/>
          <w:szCs w:val="36"/>
        </w:rPr>
        <w:t>新平先行区重点建设项目一览表（至2025年）</w:t>
      </w:r>
      <w:bookmarkEnd w:id="52"/>
      <w:bookmarkEnd w:id="53"/>
    </w:p>
    <w:p>
      <w:pPr>
        <w:spacing w:line="224" w:lineRule="exact"/>
        <w:jc w:val="center"/>
      </w:pPr>
    </w:p>
    <w:tbl>
      <w:tblPr>
        <w:tblStyle w:val="17"/>
        <w:tblW w:w="1509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2"/>
        <w:gridCol w:w="2047"/>
        <w:gridCol w:w="5745"/>
        <w:gridCol w:w="1848"/>
        <w:gridCol w:w="1095"/>
        <w:gridCol w:w="1244"/>
        <w:gridCol w:w="1274"/>
        <w:gridCol w:w="118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jc w:val="center"/>
        </w:trPr>
        <w:tc>
          <w:tcPr>
            <w:tcW w:w="662" w:type="dxa"/>
            <w:vAlign w:val="center"/>
          </w:tcPr>
          <w:p>
            <w:pPr>
              <w:spacing w:line="242" w:lineRule="auto"/>
              <w:jc w:val="center"/>
              <w:rPr>
                <w:rFonts w:ascii="仿宋_GB2312" w:hAnsi="仿宋_GB2312" w:eastAsia="仿宋_GB2312" w:cs="仿宋_GB2312"/>
                <w:sz w:val="24"/>
              </w:rPr>
            </w:pPr>
          </w:p>
          <w:p>
            <w:pPr>
              <w:spacing w:before="75" w:line="229" w:lineRule="auto"/>
              <w:ind w:left="159"/>
              <w:jc w:val="center"/>
              <w:rPr>
                <w:rFonts w:ascii="仿宋_GB2312" w:hAnsi="仿宋_GB2312" w:eastAsia="仿宋_GB2312" w:cs="仿宋_GB2312"/>
                <w:sz w:val="24"/>
              </w:rPr>
            </w:pPr>
            <w:r>
              <w:rPr>
                <w:rFonts w:hint="eastAsia" w:ascii="仿宋_GB2312" w:hAnsi="仿宋_GB2312" w:eastAsia="仿宋_GB2312" w:cs="仿宋_GB2312"/>
                <w:spacing w:val="6"/>
                <w:sz w:val="24"/>
              </w:rPr>
              <w:t>序</w:t>
            </w:r>
            <w:r>
              <w:rPr>
                <w:rFonts w:hint="eastAsia" w:ascii="仿宋_GB2312" w:hAnsi="仿宋_GB2312" w:eastAsia="仿宋_GB2312" w:cs="仿宋_GB2312"/>
                <w:spacing w:val="5"/>
                <w:sz w:val="24"/>
              </w:rPr>
              <w:t>号</w:t>
            </w:r>
          </w:p>
        </w:tc>
        <w:tc>
          <w:tcPr>
            <w:tcW w:w="2047" w:type="dxa"/>
            <w:vAlign w:val="center"/>
          </w:tcPr>
          <w:p>
            <w:pPr>
              <w:spacing w:line="242" w:lineRule="auto"/>
              <w:jc w:val="center"/>
              <w:rPr>
                <w:rFonts w:ascii="仿宋_GB2312" w:hAnsi="仿宋_GB2312" w:eastAsia="仿宋_GB2312" w:cs="仿宋_GB2312"/>
                <w:sz w:val="24"/>
              </w:rPr>
            </w:pPr>
          </w:p>
          <w:p>
            <w:pPr>
              <w:spacing w:before="75" w:line="228" w:lineRule="auto"/>
              <w:ind w:left="505"/>
              <w:jc w:val="center"/>
              <w:rPr>
                <w:rFonts w:ascii="仿宋_GB2312" w:hAnsi="仿宋_GB2312" w:eastAsia="仿宋_GB2312" w:cs="仿宋_GB2312"/>
                <w:sz w:val="24"/>
              </w:rPr>
            </w:pPr>
            <w:r>
              <w:rPr>
                <w:rFonts w:hint="eastAsia" w:ascii="仿宋_GB2312" w:hAnsi="仿宋_GB2312" w:eastAsia="仿宋_GB2312" w:cs="仿宋_GB2312"/>
                <w:spacing w:val="8"/>
                <w:sz w:val="24"/>
              </w:rPr>
              <w:t>项</w:t>
            </w:r>
            <w:r>
              <w:rPr>
                <w:rFonts w:hint="eastAsia" w:ascii="仿宋_GB2312" w:hAnsi="仿宋_GB2312" w:eastAsia="仿宋_GB2312" w:cs="仿宋_GB2312"/>
                <w:spacing w:val="6"/>
                <w:sz w:val="24"/>
              </w:rPr>
              <w:t>目名称</w:t>
            </w:r>
          </w:p>
        </w:tc>
        <w:tc>
          <w:tcPr>
            <w:tcW w:w="5745" w:type="dxa"/>
            <w:vAlign w:val="center"/>
          </w:tcPr>
          <w:p>
            <w:pPr>
              <w:spacing w:line="243" w:lineRule="auto"/>
              <w:jc w:val="center"/>
              <w:rPr>
                <w:rFonts w:ascii="仿宋_GB2312" w:hAnsi="仿宋_GB2312" w:eastAsia="仿宋_GB2312" w:cs="仿宋_GB2312"/>
                <w:sz w:val="24"/>
              </w:rPr>
            </w:pPr>
          </w:p>
          <w:p>
            <w:pPr>
              <w:spacing w:before="74" w:line="227" w:lineRule="auto"/>
              <w:ind w:left="2291"/>
              <w:jc w:val="center"/>
              <w:rPr>
                <w:rFonts w:ascii="仿宋_GB2312" w:hAnsi="仿宋_GB2312" w:eastAsia="仿宋_GB2312" w:cs="仿宋_GB2312"/>
                <w:sz w:val="24"/>
              </w:rPr>
            </w:pPr>
            <w:r>
              <w:rPr>
                <w:rFonts w:hint="eastAsia" w:ascii="仿宋_GB2312" w:hAnsi="仿宋_GB2312" w:eastAsia="仿宋_GB2312" w:cs="仿宋_GB2312"/>
                <w:spacing w:val="7"/>
                <w:sz w:val="24"/>
              </w:rPr>
              <w:t>建设内</w:t>
            </w:r>
            <w:r>
              <w:rPr>
                <w:rFonts w:hint="eastAsia" w:ascii="仿宋_GB2312" w:hAnsi="仿宋_GB2312" w:eastAsia="仿宋_GB2312" w:cs="仿宋_GB2312"/>
                <w:spacing w:val="6"/>
                <w:sz w:val="24"/>
              </w:rPr>
              <w:t>容</w:t>
            </w:r>
          </w:p>
        </w:tc>
        <w:tc>
          <w:tcPr>
            <w:tcW w:w="1848" w:type="dxa"/>
            <w:vAlign w:val="center"/>
          </w:tcPr>
          <w:p>
            <w:pPr>
              <w:spacing w:line="242" w:lineRule="auto"/>
              <w:jc w:val="center"/>
              <w:rPr>
                <w:rFonts w:ascii="仿宋_GB2312" w:hAnsi="仿宋_GB2312" w:eastAsia="仿宋_GB2312" w:cs="仿宋_GB2312"/>
                <w:sz w:val="24"/>
              </w:rPr>
            </w:pPr>
          </w:p>
          <w:p>
            <w:pPr>
              <w:spacing w:before="75" w:line="228" w:lineRule="auto"/>
              <w:ind w:left="521"/>
              <w:jc w:val="center"/>
              <w:rPr>
                <w:rFonts w:ascii="仿宋_GB2312" w:hAnsi="仿宋_GB2312" w:eastAsia="仿宋_GB2312" w:cs="仿宋_GB2312"/>
                <w:sz w:val="24"/>
              </w:rPr>
            </w:pPr>
            <w:r>
              <w:rPr>
                <w:rFonts w:hint="eastAsia" w:ascii="仿宋_GB2312" w:hAnsi="仿宋_GB2312" w:eastAsia="仿宋_GB2312" w:cs="仿宋_GB2312"/>
                <w:spacing w:val="7"/>
                <w:sz w:val="24"/>
              </w:rPr>
              <w:t>建设单</w:t>
            </w:r>
            <w:r>
              <w:rPr>
                <w:rFonts w:hint="eastAsia" w:ascii="仿宋_GB2312" w:hAnsi="仿宋_GB2312" w:eastAsia="仿宋_GB2312" w:cs="仿宋_GB2312"/>
                <w:spacing w:val="6"/>
                <w:sz w:val="24"/>
              </w:rPr>
              <w:t>位</w:t>
            </w:r>
          </w:p>
        </w:tc>
        <w:tc>
          <w:tcPr>
            <w:tcW w:w="1095" w:type="dxa"/>
            <w:vAlign w:val="center"/>
          </w:tcPr>
          <w:p>
            <w:pPr>
              <w:spacing w:before="119" w:line="401" w:lineRule="exact"/>
              <w:ind w:left="220"/>
              <w:jc w:val="center"/>
              <w:rPr>
                <w:rFonts w:ascii="仿宋_GB2312" w:hAnsi="仿宋_GB2312" w:eastAsia="仿宋_GB2312" w:cs="仿宋_GB2312"/>
                <w:sz w:val="24"/>
              </w:rPr>
            </w:pPr>
            <w:r>
              <w:rPr>
                <w:rFonts w:hint="eastAsia" w:ascii="仿宋_GB2312" w:hAnsi="仿宋_GB2312" w:eastAsia="仿宋_GB2312" w:cs="仿宋_GB2312"/>
                <w:spacing w:val="6"/>
                <w:position w:val="12"/>
                <w:sz w:val="24"/>
              </w:rPr>
              <w:t>总</w:t>
            </w:r>
            <w:r>
              <w:rPr>
                <w:rFonts w:hint="eastAsia" w:ascii="仿宋_GB2312" w:hAnsi="仿宋_GB2312" w:eastAsia="仿宋_GB2312" w:cs="仿宋_GB2312"/>
                <w:spacing w:val="4"/>
                <w:position w:val="12"/>
                <w:sz w:val="24"/>
              </w:rPr>
              <w:t>投资</w:t>
            </w:r>
          </w:p>
          <w:p>
            <w:pPr>
              <w:spacing w:line="228" w:lineRule="auto"/>
              <w:ind w:left="127"/>
              <w:jc w:val="center"/>
              <w:rPr>
                <w:rFonts w:ascii="仿宋_GB2312" w:hAnsi="仿宋_GB2312" w:eastAsia="仿宋_GB2312" w:cs="仿宋_GB2312"/>
                <w:sz w:val="24"/>
              </w:rPr>
            </w:pPr>
            <w:r>
              <w:rPr>
                <w:rFonts w:hint="eastAsia" w:ascii="仿宋_GB2312" w:hAnsi="仿宋_GB2312" w:eastAsia="仿宋_GB2312" w:cs="仿宋_GB2312"/>
                <w:spacing w:val="31"/>
                <w:sz w:val="24"/>
              </w:rPr>
              <w:t>(万元)</w:t>
            </w:r>
          </w:p>
        </w:tc>
        <w:tc>
          <w:tcPr>
            <w:tcW w:w="1244" w:type="dxa"/>
            <w:vAlign w:val="center"/>
          </w:tcPr>
          <w:p>
            <w:pPr>
              <w:spacing w:line="242" w:lineRule="auto"/>
              <w:jc w:val="center"/>
              <w:rPr>
                <w:rFonts w:ascii="仿宋_GB2312" w:hAnsi="仿宋_GB2312" w:eastAsia="仿宋_GB2312" w:cs="仿宋_GB2312"/>
                <w:sz w:val="24"/>
              </w:rPr>
            </w:pPr>
          </w:p>
          <w:p>
            <w:pPr>
              <w:spacing w:before="75" w:line="229" w:lineRule="auto"/>
              <w:ind w:left="166"/>
              <w:jc w:val="center"/>
              <w:rPr>
                <w:rFonts w:ascii="仿宋_GB2312" w:hAnsi="仿宋_GB2312" w:eastAsia="仿宋_GB2312" w:cs="仿宋_GB2312"/>
                <w:sz w:val="24"/>
              </w:rPr>
            </w:pPr>
            <w:r>
              <w:rPr>
                <w:rFonts w:hint="eastAsia" w:ascii="仿宋_GB2312" w:hAnsi="仿宋_GB2312" w:eastAsia="仿宋_GB2312" w:cs="仿宋_GB2312"/>
                <w:spacing w:val="8"/>
                <w:sz w:val="24"/>
              </w:rPr>
              <w:t>开</w:t>
            </w:r>
            <w:r>
              <w:rPr>
                <w:rFonts w:hint="eastAsia" w:ascii="仿宋_GB2312" w:hAnsi="仿宋_GB2312" w:eastAsia="仿宋_GB2312" w:cs="仿宋_GB2312"/>
                <w:spacing w:val="7"/>
                <w:sz w:val="24"/>
              </w:rPr>
              <w:t>工时间</w:t>
            </w:r>
          </w:p>
        </w:tc>
        <w:tc>
          <w:tcPr>
            <w:tcW w:w="1274" w:type="dxa"/>
            <w:vAlign w:val="center"/>
          </w:tcPr>
          <w:p>
            <w:pPr>
              <w:spacing w:line="243" w:lineRule="auto"/>
              <w:jc w:val="center"/>
              <w:rPr>
                <w:rFonts w:ascii="仿宋_GB2312" w:hAnsi="仿宋_GB2312" w:eastAsia="仿宋_GB2312" w:cs="仿宋_GB2312"/>
                <w:sz w:val="24"/>
              </w:rPr>
            </w:pPr>
          </w:p>
          <w:p>
            <w:pPr>
              <w:spacing w:before="74" w:line="227" w:lineRule="auto"/>
              <w:ind w:left="236"/>
              <w:jc w:val="center"/>
              <w:rPr>
                <w:rFonts w:ascii="仿宋_GB2312" w:hAnsi="仿宋_GB2312" w:eastAsia="仿宋_GB2312" w:cs="仿宋_GB2312"/>
                <w:sz w:val="24"/>
              </w:rPr>
            </w:pPr>
            <w:r>
              <w:rPr>
                <w:rFonts w:hint="eastAsia" w:ascii="仿宋_GB2312" w:hAnsi="仿宋_GB2312" w:eastAsia="仿宋_GB2312" w:cs="仿宋_GB2312"/>
                <w:spacing w:val="8"/>
                <w:sz w:val="24"/>
              </w:rPr>
              <w:t>竣</w:t>
            </w:r>
            <w:r>
              <w:rPr>
                <w:rFonts w:hint="eastAsia" w:ascii="仿宋_GB2312" w:hAnsi="仿宋_GB2312" w:eastAsia="仿宋_GB2312" w:cs="仿宋_GB2312"/>
                <w:spacing w:val="7"/>
                <w:sz w:val="24"/>
              </w:rPr>
              <w:t>工时间</w:t>
            </w:r>
          </w:p>
        </w:tc>
        <w:tc>
          <w:tcPr>
            <w:tcW w:w="1180" w:type="dxa"/>
            <w:vAlign w:val="center"/>
          </w:tcPr>
          <w:p>
            <w:pPr>
              <w:spacing w:line="242" w:lineRule="auto"/>
              <w:jc w:val="center"/>
              <w:rPr>
                <w:rFonts w:ascii="仿宋_GB2312" w:hAnsi="仿宋_GB2312" w:eastAsia="仿宋_GB2312" w:cs="仿宋_GB2312"/>
                <w:sz w:val="24"/>
              </w:rPr>
            </w:pPr>
          </w:p>
          <w:p>
            <w:pPr>
              <w:spacing w:before="75" w:line="228" w:lineRule="auto"/>
              <w:ind w:left="129"/>
              <w:jc w:val="center"/>
              <w:rPr>
                <w:rFonts w:ascii="仿宋_GB2312" w:hAnsi="仿宋_GB2312" w:eastAsia="仿宋_GB2312" w:cs="仿宋_GB2312"/>
                <w:sz w:val="24"/>
              </w:rPr>
            </w:pPr>
            <w:r>
              <w:rPr>
                <w:rFonts w:hint="eastAsia" w:ascii="仿宋_GB2312" w:hAnsi="仿宋_GB2312" w:eastAsia="仿宋_GB2312" w:cs="仿宋_GB2312"/>
                <w:spacing w:val="8"/>
                <w:sz w:val="24"/>
              </w:rPr>
              <w:t>项</w:t>
            </w:r>
            <w:r>
              <w:rPr>
                <w:rFonts w:hint="eastAsia" w:ascii="仿宋_GB2312" w:hAnsi="仿宋_GB2312" w:eastAsia="仿宋_GB2312" w:cs="仿宋_GB2312"/>
                <w:spacing w:val="6"/>
                <w:sz w:val="24"/>
              </w:rPr>
              <w:t>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jc w:val="center"/>
        </w:trPr>
        <w:tc>
          <w:tcPr>
            <w:tcW w:w="15095" w:type="dxa"/>
            <w:gridSpan w:val="8"/>
            <w:vAlign w:val="center"/>
          </w:tcPr>
          <w:p>
            <w:pPr>
              <w:spacing w:before="193" w:line="366" w:lineRule="exact"/>
              <w:ind w:left="6207"/>
              <w:jc w:val="both"/>
              <w:rPr>
                <w:rFonts w:ascii="仿宋_GB2312" w:hAnsi="仿宋_GB2312" w:eastAsia="仿宋_GB2312" w:cs="仿宋_GB2312"/>
                <w:sz w:val="24"/>
              </w:rPr>
            </w:pPr>
            <w:r>
              <w:rPr>
                <w:rFonts w:hint="eastAsia" w:ascii="仿宋_GB2312" w:hAnsi="仿宋_GB2312" w:eastAsia="仿宋_GB2312" w:cs="仿宋_GB2312"/>
                <w:spacing w:val="9"/>
                <w:position w:val="1"/>
                <w:sz w:val="24"/>
              </w:rPr>
              <w:t>一、文旅、文创、会展项</w:t>
            </w:r>
            <w:r>
              <w:rPr>
                <w:rFonts w:hint="eastAsia" w:ascii="仿宋_GB2312" w:hAnsi="仿宋_GB2312" w:eastAsia="仿宋_GB2312" w:cs="仿宋_GB2312"/>
                <w:spacing w:val="7"/>
                <w:position w:val="1"/>
                <w:sz w:val="24"/>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8" w:hRule="atLeast"/>
          <w:jc w:val="center"/>
        </w:trPr>
        <w:tc>
          <w:tcPr>
            <w:tcW w:w="662"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2047"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东河流域乡村振兴示范区项目</w:t>
            </w:r>
          </w:p>
        </w:tc>
        <w:tc>
          <w:tcPr>
            <w:tcW w:w="5745"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主要建设内容：综合整治河道、河道岸坡加固、河道清淤疏浚、维修改造水堰、维修改造下河便道码头等，</w:t>
            </w:r>
            <w:r>
              <w:rPr>
                <w:rFonts w:hint="eastAsia" w:ascii="仿宋_GB2312" w:hAnsi="仿宋_GB2312" w:eastAsia="仿宋_GB2312" w:cs="仿宋_GB2312"/>
                <w:color w:val="auto"/>
                <w:spacing w:val="11"/>
                <w:sz w:val="24"/>
              </w:rPr>
              <w:t>沿</w:t>
            </w:r>
            <w:r>
              <w:rPr>
                <w:rFonts w:hint="eastAsia" w:ascii="仿宋_GB2312" w:hAnsi="仿宋_GB2312" w:eastAsia="仿宋_GB2312" w:cs="仿宋_GB2312"/>
                <w:sz w:val="24"/>
              </w:rPr>
              <w:t>线文物保护开发、绿道建设、驿站建设、农旅工程、沿线乡镇风貌提升、绿色能源工程、智慧乡村工程等内容。</w:t>
            </w:r>
          </w:p>
        </w:tc>
        <w:tc>
          <w:tcPr>
            <w:tcW w:w="1848"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县乡村振兴局</w:t>
            </w:r>
          </w:p>
        </w:tc>
        <w:tc>
          <w:tcPr>
            <w:tcW w:w="1095"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158000</w:t>
            </w:r>
          </w:p>
        </w:tc>
        <w:tc>
          <w:tcPr>
            <w:tcW w:w="124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2022.06</w:t>
            </w:r>
          </w:p>
        </w:tc>
        <w:tc>
          <w:tcPr>
            <w:tcW w:w="127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2024.12</w:t>
            </w:r>
          </w:p>
        </w:tc>
        <w:tc>
          <w:tcPr>
            <w:tcW w:w="1180"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新建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7" w:hRule="atLeast"/>
          <w:jc w:val="center"/>
        </w:trPr>
        <w:tc>
          <w:tcPr>
            <w:tcW w:w="662" w:type="dxa"/>
            <w:vAlign w:val="center"/>
          </w:tcPr>
          <w:p>
            <w:pPr>
              <w:spacing w:line="282" w:lineRule="auto"/>
              <w:jc w:val="center"/>
              <w:rPr>
                <w:rFonts w:ascii="仿宋_GB2312" w:hAnsi="仿宋_GB2312" w:eastAsia="仿宋_GB2312" w:cs="仿宋_GB2312"/>
                <w:sz w:val="24"/>
              </w:rPr>
            </w:pPr>
          </w:p>
          <w:p>
            <w:pPr>
              <w:spacing w:line="283" w:lineRule="auto"/>
              <w:jc w:val="center"/>
              <w:rPr>
                <w:rFonts w:ascii="仿宋_GB2312" w:hAnsi="仿宋_GB2312" w:eastAsia="仿宋_GB2312" w:cs="仿宋_GB2312"/>
                <w:sz w:val="24"/>
              </w:rPr>
            </w:pPr>
          </w:p>
          <w:p>
            <w:pPr>
              <w:spacing w:line="283" w:lineRule="auto"/>
              <w:jc w:val="center"/>
              <w:rPr>
                <w:rFonts w:ascii="仿宋_GB2312" w:hAnsi="仿宋_GB2312" w:eastAsia="仿宋_GB2312" w:cs="仿宋_GB2312"/>
                <w:sz w:val="24"/>
              </w:rPr>
            </w:pPr>
          </w:p>
          <w:p>
            <w:pPr>
              <w:spacing w:before="67" w:line="194" w:lineRule="auto"/>
              <w:ind w:left="341"/>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2047" w:type="dxa"/>
            <w:vAlign w:val="center"/>
          </w:tcPr>
          <w:p>
            <w:pPr>
              <w:spacing w:line="300" w:lineRule="auto"/>
              <w:jc w:val="center"/>
              <w:rPr>
                <w:rFonts w:ascii="仿宋_GB2312" w:hAnsi="仿宋_GB2312" w:eastAsia="仿宋_GB2312" w:cs="仿宋_GB2312"/>
                <w:sz w:val="24"/>
              </w:rPr>
            </w:pPr>
          </w:p>
          <w:p>
            <w:pPr>
              <w:spacing w:line="301" w:lineRule="auto"/>
              <w:jc w:val="center"/>
              <w:rPr>
                <w:rFonts w:ascii="仿宋_GB2312" w:hAnsi="仿宋_GB2312" w:eastAsia="仿宋_GB2312" w:cs="仿宋_GB2312"/>
                <w:sz w:val="24"/>
              </w:rPr>
            </w:pPr>
          </w:p>
          <w:p>
            <w:pPr>
              <w:spacing w:before="75" w:line="332" w:lineRule="auto"/>
              <w:ind w:left="139" w:right="137" w:firstLine="4"/>
              <w:jc w:val="center"/>
              <w:rPr>
                <w:rFonts w:ascii="仿宋_GB2312" w:hAnsi="仿宋_GB2312" w:eastAsia="仿宋_GB2312" w:cs="仿宋_GB2312"/>
                <w:sz w:val="24"/>
              </w:rPr>
            </w:pPr>
            <w:r>
              <w:rPr>
                <w:rFonts w:hint="eastAsia" w:ascii="仿宋_GB2312" w:hAnsi="仿宋_GB2312" w:eastAsia="仿宋_GB2312" w:cs="仿宋_GB2312"/>
                <w:spacing w:val="9"/>
                <w:sz w:val="24"/>
              </w:rPr>
              <w:t>南</w:t>
            </w:r>
            <w:r>
              <w:rPr>
                <w:rFonts w:hint="eastAsia" w:ascii="仿宋_GB2312" w:hAnsi="仿宋_GB2312" w:eastAsia="仿宋_GB2312" w:cs="仿宋_GB2312"/>
                <w:spacing w:val="8"/>
                <w:sz w:val="24"/>
              </w:rPr>
              <w:t>市街陶瓷文化</w:t>
            </w:r>
            <w:r>
              <w:rPr>
                <w:rFonts w:hint="eastAsia" w:ascii="仿宋_GB2312" w:hAnsi="仿宋_GB2312" w:eastAsia="仿宋_GB2312" w:cs="仿宋_GB2312"/>
                <w:spacing w:val="9"/>
                <w:sz w:val="24"/>
              </w:rPr>
              <w:t>传承创新区项</w:t>
            </w:r>
            <w:r>
              <w:rPr>
                <w:rFonts w:hint="eastAsia" w:ascii="仿宋_GB2312" w:hAnsi="仿宋_GB2312" w:eastAsia="仿宋_GB2312" w:cs="仿宋_GB2312"/>
                <w:spacing w:val="8"/>
                <w:sz w:val="24"/>
              </w:rPr>
              <w:t>目</w:t>
            </w:r>
          </w:p>
        </w:tc>
        <w:tc>
          <w:tcPr>
            <w:tcW w:w="5745" w:type="dxa"/>
            <w:vAlign w:val="center"/>
          </w:tcPr>
          <w:p>
            <w:pPr>
              <w:spacing w:before="280" w:line="326" w:lineRule="auto"/>
              <w:ind w:left="112" w:right="105" w:firstLine="40"/>
              <w:jc w:val="left"/>
              <w:rPr>
                <w:rFonts w:ascii="仿宋_GB2312" w:hAnsi="仿宋_GB2312" w:eastAsia="仿宋_GB2312" w:cs="仿宋_GB2312"/>
                <w:sz w:val="24"/>
              </w:rPr>
            </w:pPr>
            <w:r>
              <w:rPr>
                <w:rFonts w:hint="eastAsia" w:ascii="仿宋_GB2312" w:hAnsi="仿宋_GB2312" w:eastAsia="仿宋_GB2312" w:cs="仿宋_GB2312"/>
                <w:spacing w:val="3"/>
                <w:sz w:val="24"/>
              </w:rPr>
              <w:t>占地面积约100亩，主要建设：1.景区道路建设</w:t>
            </w:r>
            <w:r>
              <w:rPr>
                <w:rFonts w:hint="eastAsia" w:ascii="仿宋_GB2312" w:hAnsi="仿宋_GB2312" w:eastAsia="仿宋_GB2312" w:cs="仿宋_GB2312"/>
                <w:sz w:val="24"/>
              </w:rPr>
              <w:t>；</w:t>
            </w:r>
            <w:r>
              <w:rPr>
                <w:rFonts w:hint="eastAsia" w:ascii="仿宋_GB2312" w:hAnsi="仿宋_GB2312" w:eastAsia="仿宋_GB2312" w:cs="仿宋_GB2312"/>
                <w:spacing w:val="12"/>
                <w:sz w:val="24"/>
              </w:rPr>
              <w:t>2</w:t>
            </w:r>
            <w:r>
              <w:rPr>
                <w:rFonts w:hint="eastAsia" w:ascii="仿宋_GB2312" w:hAnsi="仿宋_GB2312" w:eastAsia="仿宋_GB2312" w:cs="仿宋_GB2312"/>
                <w:spacing w:val="10"/>
                <w:sz w:val="24"/>
              </w:rPr>
              <w:t>.南市街古窑遗址开发和保护；3.南市街古村落村</w:t>
            </w:r>
            <w:r>
              <w:rPr>
                <w:rFonts w:hint="eastAsia" w:ascii="仿宋_GB2312" w:hAnsi="仿宋_GB2312" w:eastAsia="仿宋_GB2312" w:cs="仿宋_GB2312"/>
                <w:spacing w:val="12"/>
                <w:sz w:val="24"/>
              </w:rPr>
              <w:t>貌</w:t>
            </w:r>
            <w:r>
              <w:rPr>
                <w:rFonts w:hint="eastAsia" w:ascii="仿宋_GB2312" w:hAnsi="仿宋_GB2312" w:eastAsia="仿宋_GB2312" w:cs="仿宋_GB2312"/>
                <w:spacing w:val="10"/>
                <w:sz w:val="24"/>
              </w:rPr>
              <w:t>提升；4.南市街古窑博物馆；5.南市街陶瓷文化</w:t>
            </w:r>
            <w:r>
              <w:rPr>
                <w:rFonts w:hint="eastAsia" w:ascii="仿宋_GB2312" w:hAnsi="仿宋_GB2312" w:eastAsia="仿宋_GB2312" w:cs="仿宋_GB2312"/>
                <w:spacing w:val="16"/>
                <w:sz w:val="24"/>
              </w:rPr>
              <w:t>旅</w:t>
            </w:r>
            <w:r>
              <w:rPr>
                <w:rFonts w:hint="eastAsia" w:ascii="仿宋_GB2312" w:hAnsi="仿宋_GB2312" w:eastAsia="仿宋_GB2312" w:cs="仿宋_GB2312"/>
                <w:spacing w:val="9"/>
                <w:sz w:val="24"/>
              </w:rPr>
              <w:t>游</w:t>
            </w:r>
            <w:r>
              <w:rPr>
                <w:rFonts w:hint="eastAsia" w:ascii="仿宋_GB2312" w:hAnsi="仿宋_GB2312" w:eastAsia="仿宋_GB2312" w:cs="仿宋_GB2312"/>
                <w:spacing w:val="8"/>
                <w:sz w:val="24"/>
              </w:rPr>
              <w:t>游客中心及相关附属设施。</w:t>
            </w:r>
          </w:p>
        </w:tc>
        <w:tc>
          <w:tcPr>
            <w:tcW w:w="184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浮梁文化旅游发展集团</w:t>
            </w:r>
          </w:p>
        </w:tc>
        <w:tc>
          <w:tcPr>
            <w:tcW w:w="1095" w:type="dxa"/>
            <w:vAlign w:val="center"/>
          </w:tcPr>
          <w:p>
            <w:pPr>
              <w:spacing w:before="67" w:line="194" w:lineRule="auto"/>
              <w:ind w:firstLine="246" w:firstLineChars="100"/>
              <w:jc w:val="center"/>
              <w:rPr>
                <w:rFonts w:ascii="仿宋_GB2312" w:hAnsi="仿宋_GB2312" w:eastAsia="仿宋_GB2312" w:cs="仿宋_GB2312"/>
                <w:sz w:val="24"/>
              </w:rPr>
            </w:pPr>
            <w:r>
              <w:rPr>
                <w:rFonts w:hint="eastAsia" w:ascii="仿宋_GB2312" w:hAnsi="仿宋_GB2312" w:eastAsia="仿宋_GB2312" w:cs="仿宋_GB2312"/>
                <w:spacing w:val="3"/>
                <w:sz w:val="24"/>
              </w:rPr>
              <w:t>31000</w:t>
            </w:r>
          </w:p>
        </w:tc>
        <w:tc>
          <w:tcPr>
            <w:tcW w:w="1244" w:type="dxa"/>
            <w:vAlign w:val="center"/>
          </w:tcPr>
          <w:p>
            <w:pPr>
              <w:jc w:val="center"/>
              <w:rPr>
                <w:rFonts w:ascii="仿宋_GB2312" w:hAnsi="仿宋_GB2312" w:eastAsia="仿宋_GB2312" w:cs="仿宋_GB2312"/>
                <w:sz w:val="24"/>
              </w:rPr>
            </w:pPr>
          </w:p>
        </w:tc>
        <w:tc>
          <w:tcPr>
            <w:tcW w:w="1274" w:type="dxa"/>
            <w:vAlign w:val="center"/>
          </w:tcPr>
          <w:p>
            <w:pPr>
              <w:jc w:val="center"/>
              <w:rPr>
                <w:rFonts w:ascii="仿宋_GB2312" w:hAnsi="仿宋_GB2312" w:eastAsia="仿宋_GB2312" w:cs="仿宋_GB2312"/>
                <w:sz w:val="24"/>
              </w:rPr>
            </w:pPr>
          </w:p>
        </w:tc>
        <w:tc>
          <w:tcPr>
            <w:tcW w:w="1180" w:type="dxa"/>
            <w:vAlign w:val="center"/>
          </w:tcPr>
          <w:p>
            <w:pPr>
              <w:spacing w:before="75" w:line="228" w:lineRule="auto"/>
              <w:ind w:firstLine="252" w:firstLineChars="100"/>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bl>
    <w:p>
      <w:pPr>
        <w:jc w:val="center"/>
      </w:pPr>
    </w:p>
    <w:p>
      <w:pPr>
        <w:jc w:val="center"/>
        <w:sectPr>
          <w:footerReference r:id="rId5" w:type="default"/>
          <w:pgSz w:w="16839" w:h="11906"/>
          <w:pgMar w:top="1012" w:right="778" w:bottom="1094" w:left="777" w:header="0" w:footer="855" w:gutter="0"/>
          <w:pgNumType w:fmt="decimal"/>
          <w:cols w:space="720" w:num="1"/>
        </w:sectPr>
      </w:pPr>
    </w:p>
    <w:p>
      <w:pPr>
        <w:spacing w:line="121" w:lineRule="exact"/>
        <w:jc w:val="center"/>
      </w:pPr>
    </w:p>
    <w:tbl>
      <w:tblPr>
        <w:tblStyle w:val="17"/>
        <w:tblW w:w="153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9"/>
        <w:gridCol w:w="1960"/>
        <w:gridCol w:w="5542"/>
        <w:gridCol w:w="1989"/>
        <w:gridCol w:w="1136"/>
        <w:gridCol w:w="1279"/>
        <w:gridCol w:w="1419"/>
        <w:gridCol w:w="12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jc w:val="center"/>
        </w:trPr>
        <w:tc>
          <w:tcPr>
            <w:tcW w:w="789" w:type="dxa"/>
            <w:vAlign w:val="center"/>
          </w:tcPr>
          <w:p>
            <w:pPr>
              <w:spacing w:line="242" w:lineRule="auto"/>
              <w:jc w:val="center"/>
              <w:rPr>
                <w:rFonts w:ascii="仿宋_GB2312" w:hAnsi="仿宋_GB2312" w:eastAsia="仿宋_GB2312" w:cs="仿宋_GB2312"/>
                <w:sz w:val="24"/>
              </w:rPr>
            </w:pPr>
          </w:p>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60" w:type="dxa"/>
            <w:vAlign w:val="center"/>
          </w:tcPr>
          <w:p>
            <w:pPr>
              <w:spacing w:line="242" w:lineRule="auto"/>
              <w:jc w:val="center"/>
              <w:rPr>
                <w:rFonts w:ascii="仿宋_GB2312" w:hAnsi="仿宋_GB2312" w:eastAsia="仿宋_GB2312" w:cs="仿宋_GB2312"/>
                <w:sz w:val="24"/>
              </w:rPr>
            </w:pPr>
          </w:p>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542" w:type="dxa"/>
            <w:vAlign w:val="center"/>
          </w:tcPr>
          <w:p>
            <w:pPr>
              <w:spacing w:line="242" w:lineRule="auto"/>
              <w:jc w:val="center"/>
              <w:rPr>
                <w:rFonts w:ascii="仿宋_GB2312" w:hAnsi="仿宋_GB2312" w:eastAsia="仿宋_GB2312" w:cs="仿宋_GB2312"/>
                <w:sz w:val="24"/>
              </w:rPr>
            </w:pPr>
          </w:p>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89" w:type="dxa"/>
            <w:vAlign w:val="center"/>
          </w:tcPr>
          <w:p>
            <w:pPr>
              <w:spacing w:line="242" w:lineRule="auto"/>
              <w:jc w:val="center"/>
              <w:rPr>
                <w:rFonts w:ascii="仿宋_GB2312" w:hAnsi="仿宋_GB2312" w:eastAsia="仿宋_GB2312" w:cs="仿宋_GB2312"/>
                <w:sz w:val="24"/>
              </w:rPr>
            </w:pPr>
          </w:p>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6" w:type="dxa"/>
            <w:vAlign w:val="center"/>
          </w:tcPr>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9" w:type="dxa"/>
            <w:vAlign w:val="center"/>
          </w:tcPr>
          <w:p>
            <w:pPr>
              <w:spacing w:line="242" w:lineRule="auto"/>
              <w:jc w:val="center"/>
              <w:rPr>
                <w:rFonts w:ascii="仿宋_GB2312" w:hAnsi="仿宋_GB2312" w:eastAsia="仿宋_GB2312" w:cs="仿宋_GB2312"/>
                <w:sz w:val="24"/>
              </w:rPr>
            </w:pPr>
          </w:p>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9" w:type="dxa"/>
            <w:vAlign w:val="center"/>
          </w:tcPr>
          <w:p>
            <w:pPr>
              <w:spacing w:line="242" w:lineRule="auto"/>
              <w:jc w:val="center"/>
              <w:rPr>
                <w:rFonts w:ascii="仿宋_GB2312" w:hAnsi="仿宋_GB2312" w:eastAsia="仿宋_GB2312" w:cs="仿宋_GB2312"/>
                <w:sz w:val="24"/>
              </w:rPr>
            </w:pPr>
          </w:p>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201" w:type="dxa"/>
            <w:vAlign w:val="center"/>
          </w:tcPr>
          <w:p>
            <w:pPr>
              <w:spacing w:line="242" w:lineRule="auto"/>
              <w:jc w:val="center"/>
              <w:rPr>
                <w:rFonts w:ascii="仿宋_GB2312" w:hAnsi="仿宋_GB2312" w:eastAsia="仿宋_GB2312" w:cs="仿宋_GB2312"/>
                <w:sz w:val="24"/>
              </w:rPr>
            </w:pPr>
          </w:p>
          <w:p>
            <w:pPr>
              <w:spacing w:line="242"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3" w:hRule="atLeast"/>
          <w:jc w:val="center"/>
        </w:trPr>
        <w:tc>
          <w:tcPr>
            <w:tcW w:w="78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96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古县衙景区基础</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设施二期建设项</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目</w:t>
            </w:r>
          </w:p>
        </w:tc>
        <w:tc>
          <w:tcPr>
            <w:tcW w:w="5542"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一、景点恢复建设：1、廉洁文化馆；2、衙署文化研究院；3、三鉴园广场；4、恢复洗心沟和泮月池。</w:t>
            </w:r>
          </w:p>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二、景区交通、智慧停车场和核心景区智慧系统的配套设施建设(含韵琴湖)</w:t>
            </w:r>
          </w:p>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三、涉及陶艺路、瓷园路、县衙四路</w:t>
            </w:r>
            <w:r>
              <w:rPr>
                <w:rFonts w:hint="eastAsia" w:ascii="仿宋_GB2312" w:hAnsi="仿宋_GB2312" w:eastAsia="仿宋_GB2312" w:cs="仿宋_GB2312"/>
                <w:sz w:val="24"/>
                <w:lang w:eastAsia="zh-CN"/>
              </w:rPr>
              <w:t>等其他</w:t>
            </w:r>
            <w:r>
              <w:rPr>
                <w:rFonts w:hint="eastAsia" w:ascii="仿宋_GB2312" w:hAnsi="仿宋_GB2312" w:eastAsia="仿宋_GB2312" w:cs="仿宋_GB2312"/>
                <w:sz w:val="24"/>
              </w:rPr>
              <w:t>需要修复的道路，以及三线下地、消防、厕所、路灯和环保设施等方面的基础设施配套建设。</w:t>
            </w:r>
          </w:p>
        </w:tc>
        <w:tc>
          <w:tcPr>
            <w:tcW w:w="198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浮梁文化旅游发展集团</w:t>
            </w:r>
          </w:p>
        </w:tc>
        <w:tc>
          <w:tcPr>
            <w:tcW w:w="1136"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38000</w:t>
            </w:r>
          </w:p>
        </w:tc>
        <w:tc>
          <w:tcPr>
            <w:tcW w:w="1279" w:type="dxa"/>
            <w:vAlign w:val="center"/>
          </w:tcPr>
          <w:p>
            <w:pPr>
              <w:spacing w:line="300" w:lineRule="auto"/>
              <w:jc w:val="center"/>
              <w:rPr>
                <w:rFonts w:ascii="仿宋_GB2312" w:hAnsi="仿宋_GB2312" w:eastAsia="仿宋_GB2312" w:cs="仿宋_GB2312"/>
                <w:sz w:val="24"/>
              </w:rPr>
            </w:pPr>
          </w:p>
        </w:tc>
        <w:tc>
          <w:tcPr>
            <w:tcW w:w="1419" w:type="dxa"/>
            <w:vAlign w:val="center"/>
          </w:tcPr>
          <w:p>
            <w:pPr>
              <w:spacing w:line="300" w:lineRule="auto"/>
              <w:jc w:val="center"/>
              <w:rPr>
                <w:rFonts w:ascii="仿宋_GB2312" w:hAnsi="仿宋_GB2312" w:eastAsia="仿宋_GB2312" w:cs="仿宋_GB2312"/>
                <w:sz w:val="24"/>
              </w:rPr>
            </w:pPr>
          </w:p>
        </w:tc>
        <w:tc>
          <w:tcPr>
            <w:tcW w:w="120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1" w:hRule="atLeast"/>
          <w:jc w:val="center"/>
        </w:trPr>
        <w:tc>
          <w:tcPr>
            <w:tcW w:w="78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96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丝路源典瓷茶古镇</w:t>
            </w:r>
          </w:p>
        </w:tc>
        <w:tc>
          <w:tcPr>
            <w:tcW w:w="5542"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建设规模：总用地面积713.4亩，建筑面积约49万平方米。建设内容：高端民宿酒店、瓷茶文化商业、丝路会馆、主题餐饮、艺术文化</w:t>
            </w:r>
            <w:r>
              <w:rPr>
                <w:rFonts w:hint="eastAsia" w:ascii="仿宋_GB2312" w:hAnsi="仿宋_GB2312" w:eastAsia="仿宋_GB2312" w:cs="仿宋_GB2312"/>
                <w:sz w:val="24"/>
                <w:lang w:eastAsia="zh-CN"/>
              </w:rPr>
              <w:t>商业</w:t>
            </w:r>
            <w:r>
              <w:rPr>
                <w:rFonts w:hint="eastAsia" w:ascii="仿宋_GB2312" w:hAnsi="仿宋_GB2312" w:eastAsia="仿宋_GB2312" w:cs="仿宋_GB2312"/>
                <w:sz w:val="24"/>
              </w:rPr>
              <w:t>街、文化颐养学院、浮梁院子等。</w:t>
            </w:r>
          </w:p>
        </w:tc>
        <w:tc>
          <w:tcPr>
            <w:tcW w:w="198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浮梁巅峰归来文化发展有限公司</w:t>
            </w:r>
          </w:p>
        </w:tc>
        <w:tc>
          <w:tcPr>
            <w:tcW w:w="1136" w:type="dxa"/>
            <w:vAlign w:val="center"/>
          </w:tcPr>
          <w:p>
            <w:pPr>
              <w:spacing w:line="300" w:lineRule="auto"/>
              <w:jc w:val="center"/>
              <w:rPr>
                <w:rFonts w:hint="eastAsia"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200000</w:t>
            </w:r>
          </w:p>
        </w:tc>
        <w:tc>
          <w:tcPr>
            <w:tcW w:w="1279" w:type="dxa"/>
            <w:vAlign w:val="center"/>
          </w:tcPr>
          <w:p>
            <w:pPr>
              <w:spacing w:line="300" w:lineRule="auto"/>
              <w:jc w:val="center"/>
              <w:rPr>
                <w:rFonts w:ascii="仿宋_GB2312" w:hAnsi="仿宋_GB2312" w:eastAsia="仿宋_GB2312" w:cs="仿宋_GB2312"/>
                <w:sz w:val="24"/>
              </w:rPr>
            </w:pPr>
          </w:p>
        </w:tc>
        <w:tc>
          <w:tcPr>
            <w:tcW w:w="1419" w:type="dxa"/>
            <w:vAlign w:val="center"/>
          </w:tcPr>
          <w:p>
            <w:pPr>
              <w:spacing w:line="300" w:lineRule="auto"/>
              <w:jc w:val="center"/>
              <w:rPr>
                <w:rFonts w:ascii="仿宋_GB2312" w:hAnsi="仿宋_GB2312" w:eastAsia="仿宋_GB2312" w:cs="仿宋_GB2312"/>
                <w:sz w:val="24"/>
              </w:rPr>
            </w:pPr>
          </w:p>
        </w:tc>
        <w:tc>
          <w:tcPr>
            <w:tcW w:w="1201" w:type="dxa"/>
            <w:vAlign w:val="center"/>
          </w:tcPr>
          <w:p>
            <w:pPr>
              <w:spacing w:line="300" w:lineRule="auto"/>
              <w:jc w:val="center"/>
              <w:rPr>
                <w:rFonts w:hint="eastAsia"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9" w:hRule="atLeast"/>
          <w:jc w:val="center"/>
        </w:trPr>
        <w:tc>
          <w:tcPr>
            <w:tcW w:w="789" w:type="dxa"/>
            <w:vAlign w:val="center"/>
          </w:tcPr>
          <w:p>
            <w:pPr>
              <w:spacing w:before="66" w:line="194" w:lineRule="auto"/>
              <w:ind w:left="341"/>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1960" w:type="dxa"/>
            <w:vAlign w:val="center"/>
          </w:tcPr>
          <w:p>
            <w:pPr>
              <w:spacing w:before="75" w:line="331" w:lineRule="auto"/>
              <w:ind w:left="383" w:right="137" w:hanging="240"/>
              <w:jc w:val="center"/>
              <w:rPr>
                <w:rFonts w:ascii="仿宋_GB2312" w:hAnsi="仿宋_GB2312" w:eastAsia="仿宋_GB2312" w:cs="仿宋_GB2312"/>
                <w:sz w:val="24"/>
              </w:rPr>
            </w:pPr>
            <w:r>
              <w:rPr>
                <w:rFonts w:hint="eastAsia" w:ascii="仿宋_GB2312" w:hAnsi="仿宋_GB2312" w:eastAsia="仿宋_GB2312" w:cs="仿宋_GB2312"/>
                <w:spacing w:val="10"/>
                <w:sz w:val="24"/>
              </w:rPr>
              <w:t>浮</w:t>
            </w:r>
            <w:r>
              <w:rPr>
                <w:rFonts w:hint="eastAsia" w:ascii="仿宋_GB2312" w:hAnsi="仿宋_GB2312" w:eastAsia="仿宋_GB2312" w:cs="仿宋_GB2312"/>
                <w:spacing w:val="8"/>
                <w:sz w:val="24"/>
              </w:rPr>
              <w:t>梁夜游经济灯</w:t>
            </w:r>
            <w:r>
              <w:rPr>
                <w:rFonts w:hint="eastAsia" w:ascii="仿宋_GB2312" w:hAnsi="仿宋_GB2312" w:eastAsia="仿宋_GB2312" w:cs="仿宋_GB2312"/>
                <w:spacing w:val="10"/>
                <w:sz w:val="24"/>
              </w:rPr>
              <w:t>光</w:t>
            </w:r>
            <w:r>
              <w:rPr>
                <w:rFonts w:hint="eastAsia" w:ascii="仿宋_GB2312" w:hAnsi="仿宋_GB2312" w:eastAsia="仿宋_GB2312" w:cs="仿宋_GB2312"/>
                <w:spacing w:val="7"/>
                <w:sz w:val="24"/>
              </w:rPr>
              <w:t>升级项目</w:t>
            </w:r>
          </w:p>
        </w:tc>
        <w:tc>
          <w:tcPr>
            <w:tcW w:w="5542" w:type="dxa"/>
            <w:vAlign w:val="center"/>
          </w:tcPr>
          <w:p>
            <w:pPr>
              <w:spacing w:before="75" w:line="331" w:lineRule="auto"/>
              <w:ind w:left="116" w:right="105" w:hanging="1"/>
              <w:jc w:val="left"/>
              <w:rPr>
                <w:rFonts w:ascii="仿宋_GB2312" w:hAnsi="仿宋_GB2312" w:eastAsia="仿宋_GB2312" w:cs="仿宋_GB2312"/>
                <w:sz w:val="24"/>
              </w:rPr>
            </w:pPr>
            <w:r>
              <w:rPr>
                <w:rFonts w:hint="eastAsia" w:ascii="仿宋_GB2312" w:hAnsi="仿宋_GB2312" w:eastAsia="仿宋_GB2312" w:cs="仿宋_GB2312"/>
                <w:spacing w:val="11"/>
                <w:sz w:val="24"/>
              </w:rPr>
              <w:t>浮梁县城区灯光照明升级改造、沿昌江旅游带夜</w:t>
            </w:r>
            <w:r>
              <w:rPr>
                <w:rFonts w:hint="eastAsia" w:ascii="仿宋_GB2312" w:hAnsi="仿宋_GB2312" w:eastAsia="仿宋_GB2312" w:cs="仿宋_GB2312"/>
                <w:spacing w:val="8"/>
                <w:sz w:val="24"/>
              </w:rPr>
              <w:t>景</w:t>
            </w:r>
            <w:r>
              <w:rPr>
                <w:rFonts w:hint="eastAsia" w:ascii="仿宋_GB2312" w:hAnsi="仿宋_GB2312" w:eastAsia="仿宋_GB2312" w:cs="仿宋_GB2312"/>
                <w:spacing w:val="10"/>
                <w:sz w:val="24"/>
              </w:rPr>
              <w:t>打造，</w:t>
            </w:r>
            <w:r>
              <w:rPr>
                <w:rFonts w:hint="eastAsia" w:ascii="仿宋_GB2312" w:hAnsi="仿宋_GB2312" w:eastAsia="仿宋_GB2312" w:cs="仿宋_GB2312"/>
                <w:spacing w:val="6"/>
                <w:sz w:val="24"/>
              </w:rPr>
              <w:t>5</w:t>
            </w:r>
            <w:r>
              <w:rPr>
                <w:rFonts w:hint="eastAsia" w:ascii="仿宋_GB2312" w:hAnsi="仿宋_GB2312" w:eastAsia="仿宋_GB2312" w:cs="仿宋_GB2312"/>
                <w:spacing w:val="5"/>
                <w:sz w:val="24"/>
              </w:rPr>
              <w:t>公里文旅灯光、演艺灯光和景观灯光。</w:t>
            </w:r>
          </w:p>
        </w:tc>
        <w:tc>
          <w:tcPr>
            <w:tcW w:w="1989" w:type="dxa"/>
            <w:vAlign w:val="center"/>
          </w:tcPr>
          <w:p>
            <w:pPr>
              <w:spacing w:before="75" w:line="229" w:lineRule="auto"/>
              <w:jc w:val="center"/>
              <w:rPr>
                <w:rFonts w:ascii="仿宋_GB2312" w:hAnsi="仿宋_GB2312" w:eastAsia="仿宋_GB2312" w:cs="仿宋_GB2312"/>
                <w:sz w:val="24"/>
              </w:rPr>
            </w:pPr>
            <w:r>
              <w:rPr>
                <w:rFonts w:hint="eastAsia" w:ascii="仿宋_GB2312" w:hAnsi="仿宋_GB2312" w:eastAsia="仿宋_GB2312" w:cs="仿宋_GB2312"/>
                <w:spacing w:val="8"/>
                <w:sz w:val="24"/>
              </w:rPr>
              <w:t>县</w:t>
            </w:r>
            <w:r>
              <w:rPr>
                <w:rFonts w:hint="eastAsia" w:ascii="仿宋_GB2312" w:hAnsi="仿宋_GB2312" w:eastAsia="仿宋_GB2312" w:cs="仿宋_GB2312"/>
                <w:spacing w:val="7"/>
                <w:sz w:val="24"/>
              </w:rPr>
              <w:t>文旅局</w:t>
            </w:r>
          </w:p>
        </w:tc>
        <w:tc>
          <w:tcPr>
            <w:tcW w:w="1136" w:type="dxa"/>
            <w:vAlign w:val="center"/>
          </w:tcPr>
          <w:p>
            <w:pPr>
              <w:spacing w:before="66" w:line="194" w:lineRule="auto"/>
              <w:jc w:val="center"/>
              <w:rPr>
                <w:rFonts w:ascii="仿宋_GB2312" w:hAnsi="仿宋_GB2312" w:eastAsia="仿宋_GB2312" w:cs="仿宋_GB2312"/>
                <w:sz w:val="24"/>
              </w:rPr>
            </w:pPr>
            <w:r>
              <w:rPr>
                <w:rFonts w:hint="eastAsia" w:ascii="仿宋_GB2312" w:hAnsi="仿宋_GB2312" w:eastAsia="仿宋_GB2312" w:cs="仿宋_GB2312"/>
                <w:spacing w:val="3"/>
                <w:sz w:val="24"/>
              </w:rPr>
              <w:t>30000</w:t>
            </w:r>
          </w:p>
        </w:tc>
        <w:tc>
          <w:tcPr>
            <w:tcW w:w="1279" w:type="dxa"/>
            <w:vAlign w:val="center"/>
          </w:tcPr>
          <w:p>
            <w:pPr>
              <w:jc w:val="center"/>
              <w:rPr>
                <w:rFonts w:ascii="仿宋_GB2312" w:hAnsi="仿宋_GB2312" w:eastAsia="仿宋_GB2312" w:cs="仿宋_GB2312"/>
                <w:sz w:val="24"/>
              </w:rPr>
            </w:pPr>
          </w:p>
        </w:tc>
        <w:tc>
          <w:tcPr>
            <w:tcW w:w="1419" w:type="dxa"/>
            <w:vAlign w:val="center"/>
          </w:tcPr>
          <w:p>
            <w:pPr>
              <w:jc w:val="center"/>
              <w:rPr>
                <w:rFonts w:ascii="仿宋_GB2312" w:hAnsi="仿宋_GB2312" w:eastAsia="仿宋_GB2312" w:cs="仿宋_GB2312"/>
                <w:sz w:val="24"/>
              </w:rPr>
            </w:pPr>
          </w:p>
        </w:tc>
        <w:tc>
          <w:tcPr>
            <w:tcW w:w="1201" w:type="dxa"/>
            <w:vAlign w:val="center"/>
          </w:tcPr>
          <w:p>
            <w:pPr>
              <w:spacing w:before="75" w:line="228" w:lineRule="auto"/>
              <w:ind w:left="364"/>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6" w:hRule="atLeast"/>
          <w:jc w:val="center"/>
        </w:trPr>
        <w:tc>
          <w:tcPr>
            <w:tcW w:w="789" w:type="dxa"/>
            <w:vAlign w:val="center"/>
          </w:tcPr>
          <w:p>
            <w:pPr>
              <w:spacing w:before="66" w:line="191" w:lineRule="auto"/>
              <w:ind w:left="340"/>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1960" w:type="dxa"/>
            <w:vAlign w:val="center"/>
          </w:tcPr>
          <w:p>
            <w:pPr>
              <w:spacing w:before="75" w:line="331" w:lineRule="auto"/>
              <w:ind w:left="620" w:right="137" w:hanging="479"/>
              <w:jc w:val="center"/>
              <w:rPr>
                <w:rFonts w:ascii="仿宋_GB2312" w:hAnsi="仿宋_GB2312" w:eastAsia="仿宋_GB2312" w:cs="仿宋_GB2312"/>
                <w:sz w:val="24"/>
              </w:rPr>
            </w:pPr>
            <w:r>
              <w:rPr>
                <w:rFonts w:hint="eastAsia" w:ascii="仿宋_GB2312" w:hAnsi="仿宋_GB2312" w:eastAsia="仿宋_GB2312" w:cs="仿宋_GB2312"/>
                <w:spacing w:val="12"/>
                <w:sz w:val="24"/>
              </w:rPr>
              <w:t>全</w:t>
            </w:r>
            <w:r>
              <w:rPr>
                <w:rFonts w:hint="eastAsia" w:ascii="仿宋_GB2312" w:hAnsi="仿宋_GB2312" w:eastAsia="仿宋_GB2312" w:cs="仿宋_GB2312"/>
                <w:spacing w:val="8"/>
                <w:sz w:val="24"/>
              </w:rPr>
              <w:t>域旅游基础设</w:t>
            </w:r>
            <w:r>
              <w:rPr>
                <w:rFonts w:hint="eastAsia" w:ascii="仿宋_GB2312" w:hAnsi="仿宋_GB2312" w:eastAsia="仿宋_GB2312" w:cs="仿宋_GB2312"/>
                <w:spacing w:val="7"/>
                <w:sz w:val="24"/>
              </w:rPr>
              <w:t>施提升</w:t>
            </w:r>
          </w:p>
        </w:tc>
        <w:tc>
          <w:tcPr>
            <w:tcW w:w="5542" w:type="dxa"/>
            <w:vAlign w:val="center"/>
          </w:tcPr>
          <w:p>
            <w:pPr>
              <w:spacing w:before="74" w:line="329" w:lineRule="auto"/>
              <w:ind w:left="112" w:right="43" w:firstLine="28"/>
              <w:jc w:val="left"/>
              <w:rPr>
                <w:rFonts w:ascii="仿宋_GB2312" w:hAnsi="仿宋_GB2312" w:eastAsia="仿宋_GB2312" w:cs="仿宋_GB2312"/>
                <w:sz w:val="24"/>
              </w:rPr>
            </w:pPr>
            <w:r>
              <w:rPr>
                <w:rFonts w:hint="eastAsia" w:ascii="仿宋_GB2312" w:hAnsi="仿宋_GB2312" w:eastAsia="仿宋_GB2312" w:cs="仿宋_GB2312"/>
                <w:spacing w:val="2"/>
                <w:sz w:val="24"/>
              </w:rPr>
              <w:t>以全域旅游为目的，新建、改建一批旅游基础设施，</w:t>
            </w:r>
            <w:r>
              <w:rPr>
                <w:rFonts w:hint="eastAsia" w:ascii="仿宋_GB2312" w:hAnsi="仿宋_GB2312" w:eastAsia="仿宋_GB2312" w:cs="仿宋_GB2312"/>
                <w:spacing w:val="11"/>
                <w:sz w:val="24"/>
              </w:rPr>
              <w:t>含智慧停车场、游客服务中心、旅游公厕、景点连接</w:t>
            </w:r>
            <w:r>
              <w:rPr>
                <w:rFonts w:hint="eastAsia" w:ascii="仿宋_GB2312" w:hAnsi="仿宋_GB2312" w:eastAsia="仿宋_GB2312" w:cs="仿宋_GB2312"/>
                <w:spacing w:val="8"/>
                <w:sz w:val="24"/>
              </w:rPr>
              <w:t>道路、交通指示牌等。</w:t>
            </w:r>
          </w:p>
        </w:tc>
        <w:tc>
          <w:tcPr>
            <w:tcW w:w="1989" w:type="dxa"/>
            <w:vAlign w:val="center"/>
          </w:tcPr>
          <w:p>
            <w:pPr>
              <w:spacing w:before="75" w:line="229" w:lineRule="auto"/>
              <w:jc w:val="center"/>
              <w:rPr>
                <w:rFonts w:ascii="仿宋_GB2312" w:hAnsi="仿宋_GB2312" w:eastAsia="仿宋_GB2312" w:cs="仿宋_GB2312"/>
                <w:sz w:val="24"/>
              </w:rPr>
            </w:pPr>
            <w:r>
              <w:rPr>
                <w:rFonts w:hint="eastAsia" w:ascii="仿宋_GB2312" w:hAnsi="仿宋_GB2312" w:eastAsia="仿宋_GB2312" w:cs="仿宋_GB2312"/>
                <w:spacing w:val="8"/>
                <w:sz w:val="24"/>
              </w:rPr>
              <w:t>县</w:t>
            </w:r>
            <w:r>
              <w:rPr>
                <w:rFonts w:hint="eastAsia" w:ascii="仿宋_GB2312" w:hAnsi="仿宋_GB2312" w:eastAsia="仿宋_GB2312" w:cs="仿宋_GB2312"/>
                <w:spacing w:val="7"/>
                <w:sz w:val="24"/>
              </w:rPr>
              <w:t>文旅局</w:t>
            </w:r>
          </w:p>
        </w:tc>
        <w:tc>
          <w:tcPr>
            <w:tcW w:w="1136" w:type="dxa"/>
            <w:vAlign w:val="center"/>
          </w:tcPr>
          <w:p>
            <w:pPr>
              <w:spacing w:before="66" w:line="194" w:lineRule="auto"/>
              <w:jc w:val="center"/>
              <w:rPr>
                <w:rFonts w:ascii="仿宋_GB2312" w:hAnsi="仿宋_GB2312" w:eastAsia="仿宋_GB2312" w:cs="仿宋_GB2312"/>
                <w:sz w:val="24"/>
              </w:rPr>
            </w:pPr>
            <w:r>
              <w:rPr>
                <w:rFonts w:hint="eastAsia" w:ascii="仿宋_GB2312" w:hAnsi="仿宋_GB2312" w:eastAsia="仿宋_GB2312" w:cs="仿宋_GB2312"/>
                <w:spacing w:val="4"/>
                <w:sz w:val="24"/>
              </w:rPr>
              <w:t>2000</w:t>
            </w:r>
            <w:r>
              <w:rPr>
                <w:rFonts w:hint="eastAsia" w:ascii="仿宋_GB2312" w:hAnsi="仿宋_GB2312" w:eastAsia="仿宋_GB2312" w:cs="仿宋_GB2312"/>
                <w:spacing w:val="3"/>
                <w:sz w:val="24"/>
              </w:rPr>
              <w:t>0</w:t>
            </w:r>
          </w:p>
        </w:tc>
        <w:tc>
          <w:tcPr>
            <w:tcW w:w="1279" w:type="dxa"/>
            <w:vAlign w:val="center"/>
          </w:tcPr>
          <w:p>
            <w:pPr>
              <w:jc w:val="center"/>
              <w:rPr>
                <w:rFonts w:ascii="仿宋_GB2312" w:hAnsi="仿宋_GB2312" w:eastAsia="仿宋_GB2312" w:cs="仿宋_GB2312"/>
                <w:sz w:val="24"/>
              </w:rPr>
            </w:pPr>
          </w:p>
        </w:tc>
        <w:tc>
          <w:tcPr>
            <w:tcW w:w="1419" w:type="dxa"/>
            <w:vAlign w:val="center"/>
          </w:tcPr>
          <w:p>
            <w:pPr>
              <w:jc w:val="center"/>
              <w:rPr>
                <w:rFonts w:ascii="仿宋_GB2312" w:hAnsi="仿宋_GB2312" w:eastAsia="仿宋_GB2312" w:cs="仿宋_GB2312"/>
                <w:sz w:val="24"/>
              </w:rPr>
            </w:pPr>
          </w:p>
        </w:tc>
        <w:tc>
          <w:tcPr>
            <w:tcW w:w="1201" w:type="dxa"/>
            <w:vAlign w:val="center"/>
          </w:tcPr>
          <w:p>
            <w:pPr>
              <w:spacing w:before="75" w:line="228" w:lineRule="auto"/>
              <w:ind w:left="364"/>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bl>
    <w:p>
      <w:pPr>
        <w:jc w:val="center"/>
        <w:rPr>
          <w:rFonts w:ascii="仿宋_GB2312" w:hAnsi="仿宋_GB2312" w:eastAsia="仿宋_GB2312" w:cs="仿宋_GB2312"/>
          <w:sz w:val="24"/>
        </w:rPr>
      </w:pPr>
    </w:p>
    <w:p>
      <w:pPr>
        <w:jc w:val="center"/>
        <w:rPr>
          <w:rFonts w:ascii="仿宋_GB2312" w:hAnsi="仿宋_GB2312" w:eastAsia="仿宋_GB2312" w:cs="仿宋_GB2312"/>
          <w:sz w:val="24"/>
        </w:rPr>
        <w:sectPr>
          <w:footerReference r:id="rId6" w:type="default"/>
          <w:pgSz w:w="16839" w:h="11906"/>
          <w:pgMar w:top="1012" w:right="778" w:bottom="1094" w:left="777" w:header="0" w:footer="855" w:gutter="0"/>
          <w:pgNumType w:fmt="decimal"/>
          <w:cols w:space="720" w:num="1"/>
        </w:sectPr>
      </w:pPr>
    </w:p>
    <w:tbl>
      <w:tblPr>
        <w:tblStyle w:val="17"/>
        <w:tblW w:w="15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7"/>
        <w:gridCol w:w="1955"/>
        <w:gridCol w:w="5526"/>
        <w:gridCol w:w="2043"/>
        <w:gridCol w:w="1075"/>
        <w:gridCol w:w="1276"/>
        <w:gridCol w:w="1416"/>
        <w:gridCol w:w="11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jc w:val="center"/>
        </w:trPr>
        <w:tc>
          <w:tcPr>
            <w:tcW w:w="787" w:type="dxa"/>
          </w:tcPr>
          <w:p>
            <w:pPr>
              <w:spacing w:line="242" w:lineRule="auto"/>
              <w:jc w:val="center"/>
              <w:rPr>
                <w:rFonts w:ascii="仿宋_GB2312" w:hAnsi="仿宋_GB2312" w:eastAsia="仿宋_GB2312" w:cs="仿宋_GB2312"/>
                <w:sz w:val="24"/>
              </w:rPr>
            </w:pPr>
          </w:p>
          <w:p>
            <w:pPr>
              <w:spacing w:before="75" w:line="229" w:lineRule="auto"/>
              <w:ind w:left="159"/>
              <w:jc w:val="center"/>
              <w:rPr>
                <w:rFonts w:ascii="仿宋_GB2312" w:hAnsi="仿宋_GB2312" w:eastAsia="仿宋_GB2312" w:cs="仿宋_GB2312"/>
                <w:sz w:val="24"/>
              </w:rPr>
            </w:pPr>
            <w:r>
              <w:rPr>
                <w:rFonts w:hint="eastAsia" w:ascii="仿宋_GB2312" w:hAnsi="仿宋_GB2312" w:eastAsia="仿宋_GB2312" w:cs="仿宋_GB2312"/>
                <w:spacing w:val="6"/>
                <w:sz w:val="24"/>
              </w:rPr>
              <w:t>序</w:t>
            </w:r>
            <w:r>
              <w:rPr>
                <w:rFonts w:hint="eastAsia" w:ascii="仿宋_GB2312" w:hAnsi="仿宋_GB2312" w:eastAsia="仿宋_GB2312" w:cs="仿宋_GB2312"/>
                <w:spacing w:val="5"/>
                <w:sz w:val="24"/>
              </w:rPr>
              <w:t>号</w:t>
            </w:r>
          </w:p>
        </w:tc>
        <w:tc>
          <w:tcPr>
            <w:tcW w:w="1955" w:type="dxa"/>
          </w:tcPr>
          <w:p>
            <w:pPr>
              <w:spacing w:line="242" w:lineRule="auto"/>
              <w:jc w:val="center"/>
              <w:rPr>
                <w:rFonts w:ascii="仿宋_GB2312" w:hAnsi="仿宋_GB2312" w:eastAsia="仿宋_GB2312" w:cs="仿宋_GB2312"/>
                <w:sz w:val="24"/>
              </w:rPr>
            </w:pPr>
          </w:p>
          <w:p>
            <w:pPr>
              <w:spacing w:before="75" w:line="228" w:lineRule="auto"/>
              <w:ind w:left="505"/>
              <w:jc w:val="center"/>
              <w:rPr>
                <w:rFonts w:ascii="仿宋_GB2312" w:hAnsi="仿宋_GB2312" w:eastAsia="仿宋_GB2312" w:cs="仿宋_GB2312"/>
                <w:sz w:val="24"/>
              </w:rPr>
            </w:pPr>
            <w:r>
              <w:rPr>
                <w:rFonts w:hint="eastAsia" w:ascii="仿宋_GB2312" w:hAnsi="仿宋_GB2312" w:eastAsia="仿宋_GB2312" w:cs="仿宋_GB2312"/>
                <w:spacing w:val="8"/>
                <w:sz w:val="24"/>
              </w:rPr>
              <w:t>项</w:t>
            </w:r>
            <w:r>
              <w:rPr>
                <w:rFonts w:hint="eastAsia" w:ascii="仿宋_GB2312" w:hAnsi="仿宋_GB2312" w:eastAsia="仿宋_GB2312" w:cs="仿宋_GB2312"/>
                <w:spacing w:val="6"/>
                <w:sz w:val="24"/>
              </w:rPr>
              <w:t>目名称</w:t>
            </w:r>
          </w:p>
        </w:tc>
        <w:tc>
          <w:tcPr>
            <w:tcW w:w="5526" w:type="dxa"/>
          </w:tcPr>
          <w:p>
            <w:pPr>
              <w:spacing w:line="243" w:lineRule="auto"/>
              <w:jc w:val="center"/>
              <w:rPr>
                <w:rFonts w:ascii="仿宋_GB2312" w:hAnsi="仿宋_GB2312" w:eastAsia="仿宋_GB2312" w:cs="仿宋_GB2312"/>
                <w:sz w:val="24"/>
              </w:rPr>
            </w:pPr>
          </w:p>
          <w:p>
            <w:pPr>
              <w:spacing w:before="74" w:line="227" w:lineRule="auto"/>
              <w:ind w:left="2291"/>
              <w:jc w:val="center"/>
              <w:rPr>
                <w:rFonts w:ascii="仿宋_GB2312" w:hAnsi="仿宋_GB2312" w:eastAsia="仿宋_GB2312" w:cs="仿宋_GB2312"/>
                <w:sz w:val="24"/>
              </w:rPr>
            </w:pPr>
            <w:r>
              <w:rPr>
                <w:rFonts w:hint="eastAsia" w:ascii="仿宋_GB2312" w:hAnsi="仿宋_GB2312" w:eastAsia="仿宋_GB2312" w:cs="仿宋_GB2312"/>
                <w:spacing w:val="7"/>
                <w:sz w:val="24"/>
              </w:rPr>
              <w:t>建设内</w:t>
            </w:r>
            <w:r>
              <w:rPr>
                <w:rFonts w:hint="eastAsia" w:ascii="仿宋_GB2312" w:hAnsi="仿宋_GB2312" w:eastAsia="仿宋_GB2312" w:cs="仿宋_GB2312"/>
                <w:spacing w:val="6"/>
                <w:sz w:val="24"/>
              </w:rPr>
              <w:t>容</w:t>
            </w:r>
          </w:p>
        </w:tc>
        <w:tc>
          <w:tcPr>
            <w:tcW w:w="2043" w:type="dxa"/>
          </w:tcPr>
          <w:p>
            <w:pPr>
              <w:spacing w:line="242" w:lineRule="auto"/>
              <w:jc w:val="center"/>
              <w:rPr>
                <w:rFonts w:ascii="仿宋_GB2312" w:hAnsi="仿宋_GB2312" w:eastAsia="仿宋_GB2312" w:cs="仿宋_GB2312"/>
                <w:sz w:val="24"/>
              </w:rPr>
            </w:pPr>
          </w:p>
          <w:p>
            <w:pPr>
              <w:spacing w:before="75" w:line="228" w:lineRule="auto"/>
              <w:ind w:left="521"/>
              <w:jc w:val="center"/>
              <w:rPr>
                <w:rFonts w:ascii="仿宋_GB2312" w:hAnsi="仿宋_GB2312" w:eastAsia="仿宋_GB2312" w:cs="仿宋_GB2312"/>
                <w:sz w:val="24"/>
              </w:rPr>
            </w:pPr>
            <w:r>
              <w:rPr>
                <w:rFonts w:hint="eastAsia" w:ascii="仿宋_GB2312" w:hAnsi="仿宋_GB2312" w:eastAsia="仿宋_GB2312" w:cs="仿宋_GB2312"/>
                <w:spacing w:val="7"/>
                <w:sz w:val="24"/>
              </w:rPr>
              <w:t>建设单</w:t>
            </w:r>
            <w:r>
              <w:rPr>
                <w:rFonts w:hint="eastAsia" w:ascii="仿宋_GB2312" w:hAnsi="仿宋_GB2312" w:eastAsia="仿宋_GB2312" w:cs="仿宋_GB2312"/>
                <w:spacing w:val="6"/>
                <w:sz w:val="24"/>
              </w:rPr>
              <w:t>位</w:t>
            </w:r>
          </w:p>
        </w:tc>
        <w:tc>
          <w:tcPr>
            <w:tcW w:w="1075" w:type="dxa"/>
          </w:tcPr>
          <w:p>
            <w:pPr>
              <w:spacing w:before="119" w:line="401" w:lineRule="exact"/>
              <w:ind w:left="220"/>
              <w:jc w:val="center"/>
              <w:rPr>
                <w:rFonts w:ascii="仿宋_GB2312" w:hAnsi="仿宋_GB2312" w:eastAsia="仿宋_GB2312" w:cs="仿宋_GB2312"/>
                <w:sz w:val="24"/>
              </w:rPr>
            </w:pPr>
            <w:r>
              <w:rPr>
                <w:rFonts w:hint="eastAsia" w:ascii="仿宋_GB2312" w:hAnsi="仿宋_GB2312" w:eastAsia="仿宋_GB2312" w:cs="仿宋_GB2312"/>
                <w:spacing w:val="6"/>
                <w:position w:val="12"/>
                <w:sz w:val="24"/>
              </w:rPr>
              <w:t>总</w:t>
            </w:r>
            <w:r>
              <w:rPr>
                <w:rFonts w:hint="eastAsia" w:ascii="仿宋_GB2312" w:hAnsi="仿宋_GB2312" w:eastAsia="仿宋_GB2312" w:cs="仿宋_GB2312"/>
                <w:spacing w:val="4"/>
                <w:position w:val="12"/>
                <w:sz w:val="24"/>
              </w:rPr>
              <w:t>投资</w:t>
            </w:r>
          </w:p>
          <w:p>
            <w:pPr>
              <w:spacing w:line="228" w:lineRule="auto"/>
              <w:ind w:left="127"/>
              <w:jc w:val="center"/>
              <w:rPr>
                <w:rFonts w:ascii="仿宋_GB2312" w:hAnsi="仿宋_GB2312" w:eastAsia="仿宋_GB2312" w:cs="仿宋_GB2312"/>
                <w:sz w:val="24"/>
              </w:rPr>
            </w:pPr>
            <w:r>
              <w:rPr>
                <w:rFonts w:hint="eastAsia" w:ascii="仿宋_GB2312" w:hAnsi="仿宋_GB2312" w:eastAsia="仿宋_GB2312" w:cs="仿宋_GB2312"/>
                <w:spacing w:val="31"/>
                <w:sz w:val="24"/>
              </w:rPr>
              <w:t>(万元)</w:t>
            </w:r>
          </w:p>
        </w:tc>
        <w:tc>
          <w:tcPr>
            <w:tcW w:w="1276" w:type="dxa"/>
          </w:tcPr>
          <w:p>
            <w:pPr>
              <w:spacing w:line="242" w:lineRule="auto"/>
              <w:jc w:val="center"/>
              <w:rPr>
                <w:rFonts w:ascii="仿宋_GB2312" w:hAnsi="仿宋_GB2312" w:eastAsia="仿宋_GB2312" w:cs="仿宋_GB2312"/>
                <w:sz w:val="24"/>
              </w:rPr>
            </w:pPr>
          </w:p>
          <w:p>
            <w:pPr>
              <w:spacing w:before="75" w:line="229" w:lineRule="auto"/>
              <w:ind w:left="166"/>
              <w:jc w:val="center"/>
              <w:rPr>
                <w:rFonts w:ascii="仿宋_GB2312" w:hAnsi="仿宋_GB2312" w:eastAsia="仿宋_GB2312" w:cs="仿宋_GB2312"/>
                <w:sz w:val="24"/>
              </w:rPr>
            </w:pPr>
            <w:r>
              <w:rPr>
                <w:rFonts w:hint="eastAsia" w:ascii="仿宋_GB2312" w:hAnsi="仿宋_GB2312" w:eastAsia="仿宋_GB2312" w:cs="仿宋_GB2312"/>
                <w:spacing w:val="8"/>
                <w:sz w:val="24"/>
              </w:rPr>
              <w:t>开</w:t>
            </w:r>
            <w:r>
              <w:rPr>
                <w:rFonts w:hint="eastAsia" w:ascii="仿宋_GB2312" w:hAnsi="仿宋_GB2312" w:eastAsia="仿宋_GB2312" w:cs="仿宋_GB2312"/>
                <w:spacing w:val="7"/>
                <w:sz w:val="24"/>
              </w:rPr>
              <w:t>工时间</w:t>
            </w:r>
          </w:p>
        </w:tc>
        <w:tc>
          <w:tcPr>
            <w:tcW w:w="1416" w:type="dxa"/>
          </w:tcPr>
          <w:p>
            <w:pPr>
              <w:spacing w:line="243" w:lineRule="auto"/>
              <w:jc w:val="center"/>
              <w:rPr>
                <w:rFonts w:ascii="仿宋_GB2312" w:hAnsi="仿宋_GB2312" w:eastAsia="仿宋_GB2312" w:cs="仿宋_GB2312"/>
                <w:sz w:val="24"/>
              </w:rPr>
            </w:pPr>
          </w:p>
          <w:p>
            <w:pPr>
              <w:spacing w:before="74" w:line="227" w:lineRule="auto"/>
              <w:ind w:left="236"/>
              <w:jc w:val="center"/>
              <w:rPr>
                <w:rFonts w:ascii="仿宋_GB2312" w:hAnsi="仿宋_GB2312" w:eastAsia="仿宋_GB2312" w:cs="仿宋_GB2312"/>
                <w:sz w:val="24"/>
              </w:rPr>
            </w:pPr>
            <w:r>
              <w:rPr>
                <w:rFonts w:hint="eastAsia" w:ascii="仿宋_GB2312" w:hAnsi="仿宋_GB2312" w:eastAsia="仿宋_GB2312" w:cs="仿宋_GB2312"/>
                <w:spacing w:val="8"/>
                <w:sz w:val="24"/>
              </w:rPr>
              <w:t>竣</w:t>
            </w:r>
            <w:r>
              <w:rPr>
                <w:rFonts w:hint="eastAsia" w:ascii="仿宋_GB2312" w:hAnsi="仿宋_GB2312" w:eastAsia="仿宋_GB2312" w:cs="仿宋_GB2312"/>
                <w:spacing w:val="7"/>
                <w:sz w:val="24"/>
              </w:rPr>
              <w:t>工时间</w:t>
            </w:r>
          </w:p>
        </w:tc>
        <w:tc>
          <w:tcPr>
            <w:tcW w:w="1199" w:type="dxa"/>
          </w:tcPr>
          <w:p>
            <w:pPr>
              <w:spacing w:line="242" w:lineRule="auto"/>
              <w:jc w:val="center"/>
              <w:rPr>
                <w:rFonts w:ascii="仿宋_GB2312" w:hAnsi="仿宋_GB2312" w:eastAsia="仿宋_GB2312" w:cs="仿宋_GB2312"/>
                <w:sz w:val="24"/>
              </w:rPr>
            </w:pPr>
          </w:p>
          <w:p>
            <w:pPr>
              <w:spacing w:before="75" w:line="228" w:lineRule="auto"/>
              <w:ind w:left="129"/>
              <w:jc w:val="center"/>
              <w:rPr>
                <w:rFonts w:ascii="仿宋_GB2312" w:hAnsi="仿宋_GB2312" w:eastAsia="仿宋_GB2312" w:cs="仿宋_GB2312"/>
                <w:sz w:val="24"/>
              </w:rPr>
            </w:pPr>
            <w:r>
              <w:rPr>
                <w:rFonts w:hint="eastAsia" w:ascii="仿宋_GB2312" w:hAnsi="仿宋_GB2312" w:eastAsia="仿宋_GB2312" w:cs="仿宋_GB2312"/>
                <w:spacing w:val="8"/>
                <w:sz w:val="24"/>
              </w:rPr>
              <w:t>项</w:t>
            </w:r>
            <w:r>
              <w:rPr>
                <w:rFonts w:hint="eastAsia" w:ascii="仿宋_GB2312" w:hAnsi="仿宋_GB2312" w:eastAsia="仿宋_GB2312" w:cs="仿宋_GB2312"/>
                <w:spacing w:val="6"/>
                <w:sz w:val="24"/>
              </w:rPr>
              <w:t>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0" w:hRule="atLeast"/>
          <w:jc w:val="center"/>
        </w:trPr>
        <w:tc>
          <w:tcPr>
            <w:tcW w:w="787"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before="66" w:line="300" w:lineRule="auto"/>
              <w:ind w:left="346"/>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195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before="75" w:line="300" w:lineRule="auto"/>
              <w:ind w:right="137"/>
              <w:jc w:val="center"/>
              <w:rPr>
                <w:rFonts w:ascii="仿宋_GB2312" w:hAnsi="仿宋_GB2312" w:eastAsia="仿宋_GB2312" w:cs="仿宋_GB2312"/>
                <w:sz w:val="24"/>
              </w:rPr>
            </w:pPr>
            <w:r>
              <w:rPr>
                <w:rFonts w:hint="eastAsia" w:ascii="仿宋_GB2312" w:hAnsi="仿宋_GB2312" w:eastAsia="仿宋_GB2312" w:cs="仿宋_GB2312"/>
                <w:spacing w:val="10"/>
                <w:sz w:val="24"/>
              </w:rPr>
              <w:t>浮</w:t>
            </w:r>
            <w:r>
              <w:rPr>
                <w:rFonts w:hint="eastAsia" w:ascii="仿宋_GB2312" w:hAnsi="仿宋_GB2312" w:eastAsia="仿宋_GB2312" w:cs="仿宋_GB2312"/>
                <w:spacing w:val="8"/>
                <w:sz w:val="24"/>
              </w:rPr>
              <w:t>梁全域智慧生态文旅项目</w:t>
            </w:r>
          </w:p>
        </w:tc>
        <w:tc>
          <w:tcPr>
            <w:tcW w:w="5526" w:type="dxa"/>
          </w:tcPr>
          <w:p>
            <w:pPr>
              <w:spacing w:before="215" w:line="300" w:lineRule="auto"/>
              <w:ind w:left="112" w:right="105" w:firstLine="1"/>
              <w:jc w:val="left"/>
              <w:rPr>
                <w:rFonts w:ascii="仿宋_GB2312" w:hAnsi="仿宋_GB2312" w:eastAsia="仿宋_GB2312" w:cs="仿宋_GB2312"/>
                <w:sz w:val="24"/>
              </w:rPr>
            </w:pPr>
            <w:r>
              <w:rPr>
                <w:rFonts w:hint="eastAsia" w:ascii="仿宋_GB2312" w:hAnsi="仿宋_GB2312" w:eastAsia="仿宋_GB2312" w:cs="仿宋_GB2312"/>
                <w:spacing w:val="10"/>
                <w:sz w:val="24"/>
              </w:rPr>
              <w:t>重</w:t>
            </w:r>
            <w:r>
              <w:rPr>
                <w:rFonts w:hint="eastAsia" w:ascii="仿宋_GB2312" w:hAnsi="仿宋_GB2312" w:eastAsia="仿宋_GB2312" w:cs="仿宋_GB2312"/>
                <w:spacing w:val="5"/>
                <w:sz w:val="24"/>
              </w:rPr>
              <w:t>点构建“1+1+</w:t>
            </w:r>
            <w:r>
              <w:rPr>
                <w:rFonts w:hint="eastAsia" w:ascii="仿宋_GB2312" w:hAnsi="仿宋_GB2312" w:eastAsia="仿宋_GB2312" w:cs="仿宋_GB2312"/>
                <w:sz w:val="24"/>
              </w:rPr>
              <w:t>N</w:t>
            </w:r>
            <w:r>
              <w:rPr>
                <w:rFonts w:hint="eastAsia" w:ascii="仿宋_GB2312" w:hAnsi="仿宋_GB2312" w:eastAsia="仿宋_GB2312" w:cs="仿宋_GB2312"/>
                <w:spacing w:val="5"/>
                <w:sz w:val="24"/>
              </w:rPr>
              <w:t>”智慧旅游平台架构。一是建立一</w:t>
            </w:r>
            <w:r>
              <w:rPr>
                <w:rFonts w:hint="eastAsia" w:ascii="仿宋_GB2312" w:hAnsi="仿宋_GB2312" w:eastAsia="仿宋_GB2312" w:cs="仿宋_GB2312"/>
                <w:spacing w:val="12"/>
                <w:sz w:val="24"/>
              </w:rPr>
              <w:t>个</w:t>
            </w:r>
            <w:r>
              <w:rPr>
                <w:rFonts w:hint="eastAsia" w:ascii="仿宋_GB2312" w:hAnsi="仿宋_GB2312" w:eastAsia="仿宋_GB2312" w:cs="仿宋_GB2312"/>
                <w:spacing w:val="10"/>
                <w:sz w:val="24"/>
              </w:rPr>
              <w:t>“文旅110”指挥中心，接入全县客流、交通、</w:t>
            </w:r>
            <w:r>
              <w:rPr>
                <w:rFonts w:hint="eastAsia" w:ascii="仿宋_GB2312" w:hAnsi="仿宋_GB2312" w:eastAsia="仿宋_GB2312" w:cs="仿宋_GB2312"/>
                <w:spacing w:val="11"/>
                <w:sz w:val="24"/>
              </w:rPr>
              <w:t>住宿、气象等数据，实现多源数据融合，为产业发展、行业监管、营销策划提供支撑；二是依托手机</w:t>
            </w:r>
            <w:r>
              <w:rPr>
                <w:rFonts w:hint="eastAsia" w:ascii="仿宋_GB2312" w:hAnsi="仿宋_GB2312" w:eastAsia="仿宋_GB2312" w:cs="仿宋_GB2312"/>
                <w:spacing w:val="10"/>
                <w:sz w:val="24"/>
              </w:rPr>
              <w:t>端建</w:t>
            </w:r>
            <w:r>
              <w:rPr>
                <w:rFonts w:hint="eastAsia" w:ascii="仿宋_GB2312" w:hAnsi="仿宋_GB2312" w:eastAsia="仿宋_GB2312" w:cs="仿宋_GB2312"/>
                <w:spacing w:val="7"/>
                <w:sz w:val="24"/>
              </w:rPr>
              <w:t>立</w:t>
            </w:r>
            <w:r>
              <w:rPr>
                <w:rFonts w:hint="eastAsia" w:ascii="仿宋_GB2312" w:hAnsi="仿宋_GB2312" w:eastAsia="仿宋_GB2312" w:cs="仿宋_GB2312"/>
                <w:spacing w:val="5"/>
                <w:sz w:val="24"/>
              </w:rPr>
              <w:t>“一个移动服务平台”，为游客提供查询、</w:t>
            </w:r>
            <w:r>
              <w:rPr>
                <w:rFonts w:hint="eastAsia" w:ascii="仿宋_GB2312" w:hAnsi="仿宋_GB2312" w:eastAsia="仿宋_GB2312" w:cs="仿宋_GB2312"/>
                <w:spacing w:val="11"/>
                <w:sz w:val="24"/>
              </w:rPr>
              <w:t>导览、讲解、投诉等电子旅游服务体验；三是面向</w:t>
            </w:r>
            <w:r>
              <w:rPr>
                <w:rFonts w:hint="eastAsia" w:ascii="仿宋_GB2312" w:hAnsi="仿宋_GB2312" w:eastAsia="仿宋_GB2312" w:cs="仿宋_GB2312"/>
                <w:spacing w:val="10"/>
                <w:sz w:val="24"/>
              </w:rPr>
              <w:t>全县</w:t>
            </w:r>
            <w:r>
              <w:rPr>
                <w:rFonts w:hint="eastAsia" w:ascii="仿宋_GB2312" w:hAnsi="仿宋_GB2312" w:eastAsia="仿宋_GB2312" w:cs="仿宋_GB2312"/>
                <w:spacing w:val="7"/>
                <w:sz w:val="24"/>
              </w:rPr>
              <w:t>所</w:t>
            </w:r>
            <w:r>
              <w:rPr>
                <w:rFonts w:hint="eastAsia" w:ascii="仿宋_GB2312" w:hAnsi="仿宋_GB2312" w:eastAsia="仿宋_GB2312" w:cs="仿宋_GB2312"/>
                <w:spacing w:val="5"/>
                <w:sz w:val="24"/>
              </w:rPr>
              <w:t>有旅游景区，构建</w:t>
            </w:r>
            <w:r>
              <w:rPr>
                <w:rFonts w:hint="eastAsia" w:ascii="仿宋_GB2312" w:hAnsi="仿宋_GB2312" w:eastAsia="仿宋_GB2312" w:cs="仿宋_GB2312"/>
                <w:sz w:val="24"/>
              </w:rPr>
              <w:t>N</w:t>
            </w:r>
            <w:r>
              <w:rPr>
                <w:rFonts w:hint="eastAsia" w:ascii="仿宋_GB2312" w:hAnsi="仿宋_GB2312" w:eastAsia="仿宋_GB2312" w:cs="仿宋_GB2312"/>
                <w:spacing w:val="5"/>
                <w:sz w:val="24"/>
              </w:rPr>
              <w:t>个智慧应用子系统，实</w:t>
            </w:r>
            <w:r>
              <w:rPr>
                <w:rFonts w:hint="eastAsia" w:ascii="仿宋_GB2312" w:hAnsi="仿宋_GB2312" w:eastAsia="仿宋_GB2312" w:cs="仿宋_GB2312"/>
                <w:spacing w:val="11"/>
                <w:sz w:val="24"/>
              </w:rPr>
              <w:t>现所有景区客流采集与发布、智能导览、智能停车</w:t>
            </w:r>
            <w:r>
              <w:rPr>
                <w:rFonts w:hint="eastAsia" w:ascii="仿宋_GB2312" w:hAnsi="仿宋_GB2312" w:eastAsia="仿宋_GB2312" w:cs="仿宋_GB2312"/>
                <w:spacing w:val="9"/>
                <w:sz w:val="24"/>
              </w:rPr>
              <w:t>场</w:t>
            </w:r>
            <w:r>
              <w:rPr>
                <w:rFonts w:hint="eastAsia" w:ascii="仿宋_GB2312" w:hAnsi="仿宋_GB2312" w:eastAsia="仿宋_GB2312" w:cs="仿宋_GB2312"/>
                <w:spacing w:val="7"/>
                <w:sz w:val="24"/>
              </w:rPr>
              <w:t>管理等功能。</w:t>
            </w:r>
          </w:p>
        </w:tc>
        <w:tc>
          <w:tcPr>
            <w:tcW w:w="2043"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before="75" w:line="300" w:lineRule="auto"/>
              <w:ind w:left="280"/>
              <w:jc w:val="center"/>
              <w:rPr>
                <w:rFonts w:ascii="仿宋_GB2312" w:hAnsi="仿宋_GB2312" w:eastAsia="仿宋_GB2312" w:cs="仿宋_GB2312"/>
                <w:sz w:val="24"/>
              </w:rPr>
            </w:pPr>
            <w:r>
              <w:rPr>
                <w:rFonts w:hint="eastAsia" w:ascii="仿宋_GB2312" w:hAnsi="仿宋_GB2312" w:eastAsia="仿宋_GB2312" w:cs="仿宋_GB2312"/>
                <w:spacing w:val="8"/>
                <w:sz w:val="24"/>
              </w:rPr>
              <w:t>浮梁发展集团</w:t>
            </w:r>
          </w:p>
        </w:tc>
        <w:tc>
          <w:tcPr>
            <w:tcW w:w="107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before="66" w:line="300" w:lineRule="auto"/>
              <w:jc w:val="center"/>
              <w:rPr>
                <w:rFonts w:ascii="仿宋_GB2312" w:hAnsi="仿宋_GB2312" w:eastAsia="仿宋_GB2312" w:cs="仿宋_GB2312"/>
                <w:sz w:val="24"/>
              </w:rPr>
            </w:pPr>
            <w:r>
              <w:rPr>
                <w:rFonts w:hint="eastAsia" w:ascii="仿宋_GB2312" w:hAnsi="仿宋_GB2312" w:eastAsia="仿宋_GB2312" w:cs="仿宋_GB2312"/>
                <w:spacing w:val="4"/>
                <w:sz w:val="24"/>
              </w:rPr>
              <w:t>4000</w:t>
            </w:r>
          </w:p>
        </w:tc>
        <w:tc>
          <w:tcPr>
            <w:tcW w:w="1276" w:type="dxa"/>
          </w:tcPr>
          <w:p>
            <w:pPr>
              <w:spacing w:line="300" w:lineRule="auto"/>
              <w:jc w:val="center"/>
              <w:rPr>
                <w:rFonts w:ascii="仿宋_GB2312" w:hAnsi="仿宋_GB2312" w:eastAsia="仿宋_GB2312" w:cs="仿宋_GB2312"/>
                <w:sz w:val="24"/>
              </w:rPr>
            </w:pPr>
          </w:p>
        </w:tc>
        <w:tc>
          <w:tcPr>
            <w:tcW w:w="1416" w:type="dxa"/>
          </w:tcPr>
          <w:p>
            <w:pPr>
              <w:spacing w:line="300" w:lineRule="auto"/>
              <w:jc w:val="center"/>
              <w:rPr>
                <w:rFonts w:ascii="仿宋_GB2312" w:hAnsi="仿宋_GB2312" w:eastAsia="仿宋_GB2312" w:cs="仿宋_GB2312"/>
                <w:sz w:val="24"/>
              </w:rPr>
            </w:pPr>
          </w:p>
        </w:tc>
        <w:tc>
          <w:tcPr>
            <w:tcW w:w="1199" w:type="dxa"/>
            <w:vAlign w:val="center"/>
          </w:tcPr>
          <w:p>
            <w:pPr>
              <w:spacing w:before="74" w:line="300" w:lineRule="auto"/>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277" w:type="dxa"/>
            <w:gridSpan w:val="8"/>
          </w:tcPr>
          <w:p>
            <w:pPr>
              <w:spacing w:before="177" w:line="228" w:lineRule="auto"/>
              <w:ind w:left="6388"/>
              <w:jc w:val="left"/>
              <w:rPr>
                <w:rFonts w:ascii="仿宋_GB2312" w:hAnsi="仿宋_GB2312" w:eastAsia="仿宋_GB2312" w:cs="仿宋_GB2312"/>
                <w:sz w:val="24"/>
              </w:rPr>
            </w:pPr>
            <w:r>
              <w:rPr>
                <w:rFonts w:hint="eastAsia" w:ascii="仿宋_GB2312" w:hAnsi="仿宋_GB2312" w:eastAsia="仿宋_GB2312" w:cs="仿宋_GB2312"/>
                <w:spacing w:val="2"/>
                <w:sz w:val="24"/>
              </w:rPr>
              <w:t>小计</w:t>
            </w:r>
            <w:r>
              <w:rPr>
                <w:rFonts w:hint="eastAsia" w:ascii="仿宋_GB2312" w:hAnsi="仿宋_GB2312" w:eastAsia="仿宋_GB2312" w:cs="仿宋_GB2312"/>
                <w:spacing w:val="2"/>
                <w:sz w:val="24"/>
                <w:lang w:eastAsia="zh-CN"/>
              </w:rPr>
              <w:t>：</w:t>
            </w:r>
            <w:r>
              <w:rPr>
                <w:rFonts w:hint="eastAsia" w:ascii="仿宋_GB2312" w:hAnsi="仿宋_GB2312" w:eastAsia="仿宋_GB2312" w:cs="仿宋_GB2312"/>
                <w:spacing w:val="2"/>
                <w:sz w:val="24"/>
              </w:rPr>
              <w:t>总投资48.1亿元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jc w:val="center"/>
        </w:trPr>
        <w:tc>
          <w:tcPr>
            <w:tcW w:w="15277" w:type="dxa"/>
            <w:gridSpan w:val="8"/>
          </w:tcPr>
          <w:p>
            <w:pPr>
              <w:spacing w:before="173" w:line="314" w:lineRule="exact"/>
              <w:ind w:left="6327"/>
              <w:jc w:val="left"/>
              <w:rPr>
                <w:rFonts w:ascii="仿宋_GB2312" w:hAnsi="仿宋_GB2312" w:eastAsia="仿宋_GB2312" w:cs="仿宋_GB2312"/>
                <w:sz w:val="24"/>
              </w:rPr>
            </w:pPr>
            <w:r>
              <w:rPr>
                <w:rFonts w:hint="eastAsia" w:ascii="仿宋_GB2312" w:hAnsi="仿宋_GB2312" w:eastAsia="仿宋_GB2312" w:cs="仿宋_GB2312"/>
                <w:spacing w:val="16"/>
                <w:position w:val="1"/>
                <w:sz w:val="24"/>
              </w:rPr>
              <w:t>二</w:t>
            </w:r>
            <w:r>
              <w:rPr>
                <w:rFonts w:hint="eastAsia" w:ascii="仿宋_GB2312" w:hAnsi="仿宋_GB2312" w:eastAsia="仿宋_GB2312" w:cs="仿宋_GB2312"/>
                <w:spacing w:val="8"/>
                <w:position w:val="1"/>
                <w:sz w:val="24"/>
              </w:rPr>
              <w:t>、陶瓷产业、科创项目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jc w:val="center"/>
        </w:trPr>
        <w:tc>
          <w:tcPr>
            <w:tcW w:w="787"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195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三龙MR陶瓷数字产业园项目</w:t>
            </w:r>
          </w:p>
        </w:tc>
        <w:tc>
          <w:tcPr>
            <w:tcW w:w="5526"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MR数字陶瓷产业研究院、数字陶瓷孵化基地、智慧工坊、智慧生活空间、MR数字陶瓷图书馆、MR陶瓷艺学堂、5G+MR陶瓷体验中心、MR一站式线上购物中心、创客全媒体中心、陶瓷文创中心、MR陶瓷文旅中心、陶瓷产业区块链溯源平台、陶瓷产业门户网站和APP、蚂蚁链陶瓷创新中心。</w:t>
            </w:r>
          </w:p>
        </w:tc>
        <w:tc>
          <w:tcPr>
            <w:tcW w:w="2043"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浮梁县易城陶瓷科技发展有限公司</w:t>
            </w:r>
          </w:p>
        </w:tc>
        <w:tc>
          <w:tcPr>
            <w:tcW w:w="1075" w:type="dxa"/>
            <w:vAlign w:val="center"/>
          </w:tcPr>
          <w:p>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200000</w:t>
            </w:r>
          </w:p>
        </w:tc>
        <w:tc>
          <w:tcPr>
            <w:tcW w:w="1276" w:type="dxa"/>
            <w:vAlign w:val="center"/>
          </w:tcPr>
          <w:p>
            <w:pPr>
              <w:spacing w:before="66" w:line="300" w:lineRule="auto"/>
              <w:ind w:firstLine="248" w:firstLineChars="100"/>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2020.08</w:t>
            </w:r>
          </w:p>
        </w:tc>
        <w:tc>
          <w:tcPr>
            <w:tcW w:w="1416" w:type="dxa"/>
            <w:vAlign w:val="center"/>
          </w:tcPr>
          <w:p>
            <w:pPr>
              <w:spacing w:before="66" w:line="300" w:lineRule="auto"/>
              <w:ind w:firstLine="248" w:firstLineChars="100"/>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2023.12</w:t>
            </w:r>
          </w:p>
        </w:tc>
        <w:tc>
          <w:tcPr>
            <w:tcW w:w="1199" w:type="dxa"/>
            <w:vAlign w:val="center"/>
          </w:tcPr>
          <w:p>
            <w:pPr>
              <w:spacing w:before="66" w:line="300" w:lineRule="auto"/>
              <w:ind w:firstLine="248" w:firstLineChars="100"/>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9" w:hRule="atLeast"/>
          <w:jc w:val="center"/>
        </w:trPr>
        <w:tc>
          <w:tcPr>
            <w:tcW w:w="787"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景龙特种陶瓷生产线项目</w:t>
            </w:r>
          </w:p>
        </w:tc>
        <w:tc>
          <w:tcPr>
            <w:tcW w:w="5526"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特种陶瓷生产、销售，新建生产性装备。</w:t>
            </w:r>
          </w:p>
        </w:tc>
        <w:tc>
          <w:tcPr>
            <w:tcW w:w="204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浮梁县景龙特种</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陶瓷有限公司</w:t>
            </w:r>
          </w:p>
        </w:tc>
        <w:tc>
          <w:tcPr>
            <w:tcW w:w="1075" w:type="dxa"/>
            <w:vAlign w:val="center"/>
          </w:tcPr>
          <w:p>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50000</w:t>
            </w:r>
          </w:p>
        </w:tc>
        <w:tc>
          <w:tcPr>
            <w:tcW w:w="1276" w:type="dxa"/>
            <w:vAlign w:val="center"/>
          </w:tcPr>
          <w:p>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2022.01</w:t>
            </w:r>
          </w:p>
        </w:tc>
        <w:tc>
          <w:tcPr>
            <w:tcW w:w="1416" w:type="dxa"/>
            <w:vAlign w:val="center"/>
          </w:tcPr>
          <w:p>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2023.08</w:t>
            </w:r>
          </w:p>
        </w:tc>
        <w:tc>
          <w:tcPr>
            <w:tcW w:w="1199" w:type="dxa"/>
            <w:vAlign w:val="center"/>
          </w:tcPr>
          <w:p>
            <w:pPr>
              <w:spacing w:before="66" w:line="300" w:lineRule="auto"/>
              <w:jc w:val="center"/>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续建</w:t>
            </w:r>
          </w:p>
        </w:tc>
      </w:tr>
    </w:tbl>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sectPr>
          <w:footerReference r:id="rId7" w:type="default"/>
          <w:pgSz w:w="16839" w:h="11906"/>
          <w:pgMar w:top="1012" w:right="778" w:bottom="1094" w:left="777" w:header="0" w:footer="855" w:gutter="0"/>
          <w:pgNumType w:fmt="decimal"/>
          <w:cols w:space="720" w:num="1"/>
        </w:sectPr>
      </w:pPr>
    </w:p>
    <w:tbl>
      <w:tblPr>
        <w:tblStyle w:val="17"/>
        <w:tblW w:w="1519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945"/>
        <w:gridCol w:w="5499"/>
        <w:gridCol w:w="1974"/>
        <w:gridCol w:w="1127"/>
        <w:gridCol w:w="1269"/>
        <w:gridCol w:w="1408"/>
        <w:gridCol w:w="11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783"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4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499"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74"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2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69"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08"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2"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1" w:hRule="atLeast"/>
          <w:jc w:val="center"/>
        </w:trPr>
        <w:tc>
          <w:tcPr>
            <w:tcW w:w="78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194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以晴数字经济产业园项目</w:t>
            </w:r>
          </w:p>
        </w:tc>
        <w:tc>
          <w:tcPr>
            <w:tcW w:w="5499"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项目总用地面积206460平方米，总投资60亿元人民币，主要用于从事半导体集成电路、液晶显示模组、通讯终端设备及电子元器件等产品的研发和生产。</w:t>
            </w:r>
          </w:p>
        </w:tc>
        <w:tc>
          <w:tcPr>
            <w:tcW w:w="197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江西中科泛半导体科技有限公司</w:t>
            </w:r>
          </w:p>
        </w:tc>
        <w:tc>
          <w:tcPr>
            <w:tcW w:w="112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600000</w:t>
            </w:r>
          </w:p>
        </w:tc>
        <w:tc>
          <w:tcPr>
            <w:tcW w:w="126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2022.02</w:t>
            </w:r>
          </w:p>
        </w:tc>
        <w:tc>
          <w:tcPr>
            <w:tcW w:w="140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jc w:val="center"/>
        </w:trPr>
        <w:tc>
          <w:tcPr>
            <w:tcW w:w="78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11</w:t>
            </w:r>
          </w:p>
        </w:tc>
        <w:tc>
          <w:tcPr>
            <w:tcW w:w="194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峰盛新材料产业园项目</w:t>
            </w:r>
          </w:p>
        </w:tc>
        <w:tc>
          <w:tcPr>
            <w:tcW w:w="5499"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项目总占地面积120亩，分两期建设，一期投资10亿元，二期投资10亿元。</w:t>
            </w:r>
          </w:p>
        </w:tc>
        <w:tc>
          <w:tcPr>
            <w:tcW w:w="197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江西峰盛有色科技有限公司</w:t>
            </w:r>
          </w:p>
        </w:tc>
        <w:tc>
          <w:tcPr>
            <w:tcW w:w="112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200000</w:t>
            </w:r>
          </w:p>
        </w:tc>
        <w:tc>
          <w:tcPr>
            <w:tcW w:w="126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2021.12</w:t>
            </w:r>
          </w:p>
        </w:tc>
        <w:tc>
          <w:tcPr>
            <w:tcW w:w="140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6" w:hRule="atLeast"/>
          <w:jc w:val="center"/>
        </w:trPr>
        <w:tc>
          <w:tcPr>
            <w:tcW w:w="78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12</w:t>
            </w:r>
          </w:p>
        </w:tc>
        <w:tc>
          <w:tcPr>
            <w:tcW w:w="194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金绿能发泡陶瓷生产线项目</w:t>
            </w:r>
          </w:p>
        </w:tc>
        <w:tc>
          <w:tcPr>
            <w:tcW w:w="5499"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项目用地499亩。拟建年产50万m³金绿能新材料生产线共6条，4.2mX10两段式煤气发生炉冷静煤气站设备项目，包括煤气站相关设备及工器具购置、安装工程、电气工程等。</w:t>
            </w:r>
          </w:p>
        </w:tc>
        <w:tc>
          <w:tcPr>
            <w:tcW w:w="197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景德镇金绿能新</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材料科技有限公</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司</w:t>
            </w:r>
          </w:p>
        </w:tc>
        <w:tc>
          <w:tcPr>
            <w:tcW w:w="112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200000</w:t>
            </w:r>
          </w:p>
        </w:tc>
        <w:tc>
          <w:tcPr>
            <w:tcW w:w="126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2021.03</w:t>
            </w:r>
          </w:p>
        </w:tc>
        <w:tc>
          <w:tcPr>
            <w:tcW w:w="140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5" w:hRule="atLeast"/>
          <w:jc w:val="center"/>
        </w:trPr>
        <w:tc>
          <w:tcPr>
            <w:tcW w:w="78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13</w:t>
            </w:r>
          </w:p>
        </w:tc>
        <w:tc>
          <w:tcPr>
            <w:tcW w:w="194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乐华智能家居</w:t>
            </w:r>
          </w:p>
        </w:tc>
        <w:tc>
          <w:tcPr>
            <w:tcW w:w="5499"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占地面积8.2万㎡，总建筑面积约为30.3万㎡；建设内容主要包括铸造车间、机加车间、焊接车间、五金车间、抛光车间、电镀车间、装配车间、铜棒车间、铝材加工区、模具中心、注塑车间、辅助工程、公用工程、环保工程和成品仓库。</w:t>
            </w:r>
          </w:p>
        </w:tc>
        <w:tc>
          <w:tcPr>
            <w:tcW w:w="197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景德镇乐华洁具有限公司</w:t>
            </w:r>
          </w:p>
        </w:tc>
        <w:tc>
          <w:tcPr>
            <w:tcW w:w="112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200000</w:t>
            </w:r>
          </w:p>
        </w:tc>
        <w:tc>
          <w:tcPr>
            <w:tcW w:w="126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2021.05</w:t>
            </w:r>
          </w:p>
        </w:tc>
        <w:tc>
          <w:tcPr>
            <w:tcW w:w="140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2024.12</w:t>
            </w:r>
          </w:p>
        </w:tc>
        <w:tc>
          <w:tcPr>
            <w:tcW w:w="119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bl>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sectPr>
          <w:footerReference r:id="rId8" w:type="default"/>
          <w:pgSz w:w="16839" w:h="11906"/>
          <w:pgMar w:top="1012" w:right="778" w:bottom="1094" w:left="777" w:header="0" w:footer="855" w:gutter="0"/>
          <w:pgNumType w:fmt="decimal"/>
          <w:cols w:space="720" w:num="1"/>
        </w:sectPr>
      </w:pPr>
    </w:p>
    <w:p>
      <w:pPr>
        <w:spacing w:line="300" w:lineRule="auto"/>
        <w:jc w:val="center"/>
        <w:rPr>
          <w:rFonts w:ascii="仿宋_GB2312" w:hAnsi="仿宋_GB2312" w:eastAsia="仿宋_GB2312" w:cs="仿宋_GB2312"/>
          <w:sz w:val="24"/>
        </w:rPr>
      </w:pPr>
    </w:p>
    <w:tbl>
      <w:tblPr>
        <w:tblStyle w:val="17"/>
        <w:tblW w:w="152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950"/>
        <w:gridCol w:w="5515"/>
        <w:gridCol w:w="1979"/>
        <w:gridCol w:w="1130"/>
        <w:gridCol w:w="1272"/>
        <w:gridCol w:w="1412"/>
        <w:gridCol w:w="11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78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50"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51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79"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0" w:type="dxa"/>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2"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2"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8" w:hRule="atLeast"/>
        </w:trPr>
        <w:tc>
          <w:tcPr>
            <w:tcW w:w="785" w:type="dxa"/>
            <w:vAlign w:val="center"/>
          </w:tcPr>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14</w:t>
            </w:r>
          </w:p>
        </w:tc>
        <w:tc>
          <w:tcPr>
            <w:tcW w:w="195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浮梁产业园新材</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料及电子信息产</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业标准化厂房二</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期项目</w:t>
            </w:r>
          </w:p>
        </w:tc>
        <w:tc>
          <w:tcPr>
            <w:tcW w:w="5515"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在“一园三区一基地”规划确定的基础上，新增各类配套基础设施及标准化厂房建设内容，主要建设内容包括标准化厂房、公共服务用房、职工宿舍楼、垃圾中转站、消防站、厂房间道路、停车场等相关</w:t>
            </w:r>
          </w:p>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市政配套设施。</w:t>
            </w:r>
          </w:p>
        </w:tc>
        <w:tc>
          <w:tcPr>
            <w:tcW w:w="197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浮梁县工业发展有限公司</w:t>
            </w:r>
          </w:p>
        </w:tc>
        <w:tc>
          <w:tcPr>
            <w:tcW w:w="113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110000</w:t>
            </w:r>
          </w:p>
        </w:tc>
        <w:tc>
          <w:tcPr>
            <w:tcW w:w="127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2022.06</w:t>
            </w:r>
          </w:p>
        </w:tc>
        <w:tc>
          <w:tcPr>
            <w:tcW w:w="141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2025.12</w:t>
            </w:r>
          </w:p>
        </w:tc>
        <w:tc>
          <w:tcPr>
            <w:tcW w:w="119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15</w:t>
            </w:r>
          </w:p>
        </w:tc>
        <w:tc>
          <w:tcPr>
            <w:tcW w:w="195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浮梁发展孵化园</w:t>
            </w:r>
          </w:p>
        </w:tc>
        <w:tc>
          <w:tcPr>
            <w:tcW w:w="5515"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用地面积2.2万平方米，建筑面积8.9万平方米。</w:t>
            </w:r>
          </w:p>
        </w:tc>
        <w:tc>
          <w:tcPr>
            <w:tcW w:w="1979"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3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64000</w:t>
            </w:r>
          </w:p>
        </w:tc>
        <w:tc>
          <w:tcPr>
            <w:tcW w:w="127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2021.01</w:t>
            </w:r>
          </w:p>
        </w:tc>
        <w:tc>
          <w:tcPr>
            <w:tcW w:w="141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2023.12</w:t>
            </w:r>
          </w:p>
        </w:tc>
        <w:tc>
          <w:tcPr>
            <w:tcW w:w="119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16</w:t>
            </w:r>
          </w:p>
        </w:tc>
        <w:tc>
          <w:tcPr>
            <w:tcW w:w="195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浮梁县陶瓷新材</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料产业标准化厂</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房建设项目</w:t>
            </w:r>
          </w:p>
        </w:tc>
        <w:tc>
          <w:tcPr>
            <w:tcW w:w="5515"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总建筑面积为290000㎡，主要建设标准厂房240000㎡以及建设配套的给水、排水、供电设施。</w:t>
            </w:r>
          </w:p>
        </w:tc>
        <w:tc>
          <w:tcPr>
            <w:tcW w:w="1979"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产业园管委会</w:t>
            </w:r>
          </w:p>
        </w:tc>
        <w:tc>
          <w:tcPr>
            <w:tcW w:w="113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68000</w:t>
            </w:r>
          </w:p>
        </w:tc>
        <w:tc>
          <w:tcPr>
            <w:tcW w:w="127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41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19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17</w:t>
            </w:r>
          </w:p>
        </w:tc>
        <w:tc>
          <w:tcPr>
            <w:tcW w:w="195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国际先进陶瓷科创谷项目</w:t>
            </w:r>
          </w:p>
        </w:tc>
        <w:tc>
          <w:tcPr>
            <w:tcW w:w="5515"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依托产业园调区扩区，引进或自主研发先进陶瓷，复制武汉光谷经验，打造先进陶瓷科创谷，成为集研发、生产、销售为一体的先进陶瓷总部。</w:t>
            </w:r>
          </w:p>
        </w:tc>
        <w:tc>
          <w:tcPr>
            <w:tcW w:w="1979"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浮梁产业园区管委会</w:t>
            </w:r>
          </w:p>
        </w:tc>
        <w:tc>
          <w:tcPr>
            <w:tcW w:w="113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50000</w:t>
            </w:r>
          </w:p>
        </w:tc>
        <w:tc>
          <w:tcPr>
            <w:tcW w:w="127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41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19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8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18</w:t>
            </w:r>
          </w:p>
        </w:tc>
        <w:tc>
          <w:tcPr>
            <w:tcW w:w="195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浮梁县特色农产</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品加工标准厂房</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及配套基础设施</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建设项目</w:t>
            </w:r>
          </w:p>
        </w:tc>
        <w:tc>
          <w:tcPr>
            <w:tcW w:w="5515"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总建筑面积71550平方米，主要建设内容包括标准厂房67500㎡以及建设配套的给水、排水、供电设施。</w:t>
            </w:r>
          </w:p>
        </w:tc>
        <w:tc>
          <w:tcPr>
            <w:tcW w:w="1979"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浮发集团</w:t>
            </w:r>
          </w:p>
        </w:tc>
        <w:tc>
          <w:tcPr>
            <w:tcW w:w="113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21000</w:t>
            </w:r>
          </w:p>
        </w:tc>
        <w:tc>
          <w:tcPr>
            <w:tcW w:w="127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41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19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bl>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sectPr>
          <w:footerReference r:id="rId9" w:type="default"/>
          <w:pgSz w:w="16839" w:h="11906"/>
          <w:pgMar w:top="1012" w:right="778" w:bottom="1094" w:left="777" w:header="0" w:footer="855" w:gutter="0"/>
          <w:pgNumType w:fmt="decimal"/>
          <w:cols w:space="720" w:num="1"/>
        </w:sectPr>
      </w:pPr>
    </w:p>
    <w:tbl>
      <w:tblPr>
        <w:tblStyle w:val="17"/>
        <w:tblW w:w="150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3"/>
        <w:gridCol w:w="2009"/>
        <w:gridCol w:w="5448"/>
        <w:gridCol w:w="1955"/>
        <w:gridCol w:w="1117"/>
        <w:gridCol w:w="1257"/>
        <w:gridCol w:w="1396"/>
        <w:gridCol w:w="11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69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200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44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17" w:type="dxa"/>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57"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396"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81"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jc w:val="center"/>
        </w:trPr>
        <w:tc>
          <w:tcPr>
            <w:tcW w:w="693" w:type="dxa"/>
            <w:vAlign w:val="center"/>
          </w:tcPr>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19</w:t>
            </w:r>
          </w:p>
        </w:tc>
        <w:tc>
          <w:tcPr>
            <w:tcW w:w="200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高精陶瓷与新材</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料集聚区建设</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w:t>
            </w:r>
          </w:p>
        </w:tc>
        <w:tc>
          <w:tcPr>
            <w:tcW w:w="5448"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依托产业园调区扩区，以现有陶瓷企业改建或引进新企业为主，提供税收、土地等奖励机制，发展高精陶瓷与新材料，成为高精陶瓷与新材料集聚区。</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浮梁产业园区管委会</w:t>
            </w:r>
          </w:p>
        </w:tc>
        <w:tc>
          <w:tcPr>
            <w:tcW w:w="111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150000</w:t>
            </w:r>
          </w:p>
        </w:tc>
        <w:tc>
          <w:tcPr>
            <w:tcW w:w="1257" w:type="dxa"/>
            <w:vAlign w:val="center"/>
          </w:tcPr>
          <w:p>
            <w:pPr>
              <w:spacing w:line="300" w:lineRule="auto"/>
              <w:jc w:val="center"/>
              <w:rPr>
                <w:rFonts w:ascii="仿宋_GB2312" w:hAnsi="仿宋_GB2312" w:eastAsia="仿宋_GB2312" w:cs="仿宋_GB2312"/>
                <w:sz w:val="24"/>
              </w:rPr>
            </w:pPr>
          </w:p>
        </w:tc>
        <w:tc>
          <w:tcPr>
            <w:tcW w:w="1396" w:type="dxa"/>
            <w:vAlign w:val="center"/>
          </w:tcPr>
          <w:p>
            <w:pPr>
              <w:spacing w:line="300" w:lineRule="auto"/>
              <w:jc w:val="center"/>
              <w:rPr>
                <w:rFonts w:ascii="仿宋_GB2312" w:hAnsi="仿宋_GB2312" w:eastAsia="仿宋_GB2312" w:cs="仿宋_GB2312"/>
                <w:sz w:val="24"/>
              </w:rPr>
            </w:pPr>
          </w:p>
        </w:tc>
        <w:tc>
          <w:tcPr>
            <w:tcW w:w="118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693" w:type="dxa"/>
            <w:vAlign w:val="center"/>
          </w:tcPr>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w:t>
            </w:r>
          </w:p>
        </w:tc>
        <w:tc>
          <w:tcPr>
            <w:tcW w:w="200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先行区智能化改造</w:t>
            </w:r>
          </w:p>
        </w:tc>
        <w:tc>
          <w:tcPr>
            <w:tcW w:w="5448"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实现新平先行区区域智能化，产业园区智能化，园区内企业智能化改造提升。</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新平先行区管委会</w:t>
            </w:r>
          </w:p>
        </w:tc>
        <w:tc>
          <w:tcPr>
            <w:tcW w:w="111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30000</w:t>
            </w:r>
          </w:p>
        </w:tc>
        <w:tc>
          <w:tcPr>
            <w:tcW w:w="1257" w:type="dxa"/>
          </w:tcPr>
          <w:p>
            <w:pPr>
              <w:spacing w:line="300" w:lineRule="auto"/>
              <w:jc w:val="center"/>
              <w:rPr>
                <w:rFonts w:ascii="仿宋_GB2312" w:hAnsi="仿宋_GB2312" w:eastAsia="仿宋_GB2312" w:cs="仿宋_GB2312"/>
                <w:sz w:val="24"/>
              </w:rPr>
            </w:pPr>
          </w:p>
        </w:tc>
        <w:tc>
          <w:tcPr>
            <w:tcW w:w="1396" w:type="dxa"/>
          </w:tcPr>
          <w:p>
            <w:pPr>
              <w:spacing w:line="300" w:lineRule="auto"/>
              <w:jc w:val="center"/>
              <w:rPr>
                <w:rFonts w:ascii="仿宋_GB2312" w:hAnsi="仿宋_GB2312" w:eastAsia="仿宋_GB2312" w:cs="仿宋_GB2312"/>
                <w:sz w:val="24"/>
              </w:rPr>
            </w:pPr>
          </w:p>
        </w:tc>
        <w:tc>
          <w:tcPr>
            <w:tcW w:w="1181"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693" w:type="dxa"/>
            <w:vAlign w:val="center"/>
          </w:tcPr>
          <w:p>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21</w:t>
            </w:r>
          </w:p>
        </w:tc>
        <w:tc>
          <w:tcPr>
            <w:tcW w:w="2009"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景德镇陶瓷大学产教融合基地</w:t>
            </w:r>
          </w:p>
        </w:tc>
        <w:tc>
          <w:tcPr>
            <w:tcW w:w="5448"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筑面积4万㎡，其中：大学生产教融合基地2.8万㎡，公共服务用房0.8万㎡，生活用房0.4万㎡，垃圾中转站200㎡，市政道路7100㎡，地下室8250㎡和变配电间、消防水池、消防泵房、给水、雨污管网、强电(含管网)、弱电智能化系统、门楼等基础配套设施。</w:t>
            </w:r>
          </w:p>
        </w:tc>
        <w:tc>
          <w:tcPr>
            <w:tcW w:w="195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17"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20000</w:t>
            </w:r>
          </w:p>
        </w:tc>
        <w:tc>
          <w:tcPr>
            <w:tcW w:w="1257" w:type="dxa"/>
            <w:vAlign w:val="center"/>
          </w:tcPr>
          <w:p>
            <w:pPr>
              <w:spacing w:line="300" w:lineRule="auto"/>
              <w:jc w:val="center"/>
              <w:rPr>
                <w:rFonts w:ascii="仿宋_GB2312" w:hAnsi="仿宋_GB2312" w:eastAsia="仿宋_GB2312" w:cs="仿宋_GB2312"/>
                <w:kern w:val="2"/>
                <w:sz w:val="24"/>
                <w:szCs w:val="24"/>
                <w:lang w:val="en-US" w:eastAsia="zh-CN" w:bidi="ar-SA"/>
              </w:rPr>
            </w:pPr>
          </w:p>
        </w:tc>
        <w:tc>
          <w:tcPr>
            <w:tcW w:w="1396" w:type="dxa"/>
            <w:vAlign w:val="center"/>
          </w:tcPr>
          <w:p>
            <w:pPr>
              <w:spacing w:line="300" w:lineRule="auto"/>
              <w:jc w:val="center"/>
              <w:rPr>
                <w:rFonts w:ascii="仿宋_GB2312" w:hAnsi="仿宋_GB2312" w:eastAsia="仿宋_GB2312" w:cs="仿宋_GB2312"/>
                <w:kern w:val="2"/>
                <w:sz w:val="24"/>
                <w:szCs w:val="24"/>
                <w:lang w:val="en-US" w:eastAsia="zh-CN" w:bidi="ar-SA"/>
              </w:rPr>
            </w:pPr>
          </w:p>
        </w:tc>
        <w:tc>
          <w:tcPr>
            <w:tcW w:w="118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2" w:hRule="atLeast"/>
          <w:jc w:val="center"/>
        </w:trPr>
        <w:tc>
          <w:tcPr>
            <w:tcW w:w="693" w:type="dxa"/>
            <w:vAlign w:val="center"/>
          </w:tcPr>
          <w:p>
            <w:pPr>
              <w:widowControl/>
              <w:spacing w:line="260" w:lineRule="exact"/>
              <w:ind w:firstLine="0" w:firstLineChars="0"/>
              <w:jc w:val="center"/>
              <w:rPr>
                <w:rFonts w:hint="default"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22</w:t>
            </w:r>
          </w:p>
        </w:tc>
        <w:tc>
          <w:tcPr>
            <w:tcW w:w="2009" w:type="dxa"/>
            <w:vAlign w:val="center"/>
          </w:tcPr>
          <w:p>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景德镇市浮梁县寿安镇钙基新材料产业园建设项目</w:t>
            </w:r>
          </w:p>
        </w:tc>
        <w:tc>
          <w:tcPr>
            <w:tcW w:w="5448" w:type="dxa"/>
            <w:vAlign w:val="center"/>
          </w:tcPr>
          <w:p>
            <w:pPr>
              <w:widowControl/>
              <w:spacing w:line="260" w:lineRule="exact"/>
              <w:ind w:firstLine="0" w:firstLineChars="0"/>
              <w:jc w:val="left"/>
              <w:rPr>
                <w:rFonts w:hint="eastAsia" w:ascii="仿宋" w:hAnsi="仿宋" w:eastAsia="仿宋" w:cs="仿宋"/>
                <w:bCs/>
                <w:color w:val="auto"/>
                <w:kern w:val="0"/>
                <w:sz w:val="24"/>
                <w:szCs w:val="24"/>
                <w:highlight w:val="none"/>
                <w:lang w:val="en-US" w:eastAsia="zh-CN" w:bidi="ar-SA"/>
              </w:rPr>
            </w:pPr>
            <w:r>
              <w:rPr>
                <w:rFonts w:hint="eastAsia" w:ascii="仿宋_GB2312" w:hAnsi="仿宋_GB2312" w:eastAsia="仿宋_GB2312" w:cs="仿宋_GB2312"/>
                <w:sz w:val="24"/>
              </w:rPr>
              <w:t>本项目分两期建设，项目总用地面积约为430亩，总建筑面积约为22.9万m²，其中一期用地面积为230亩，建筑面积为12.3万m²，厂房建筑面积11.05万m²，综合楼建筑面积0.6万m²，宿舍建筑面积0.3万m²，食堂建筑面积0.3万m²，配套用房建筑面积0.05万m²；二期用地面积为200亩，建筑面积为10.6万m²，厂房建筑面积9.61万²，综合楼建筑面积0.5万m²，宿舍建筑面积0.2万m²，食堂建筑面积0.25万m²，配套用房建筑面积0.04万m²。</w:t>
            </w:r>
          </w:p>
        </w:tc>
        <w:tc>
          <w:tcPr>
            <w:tcW w:w="1955" w:type="dxa"/>
            <w:vAlign w:val="center"/>
          </w:tcPr>
          <w:p>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江西皓景新材料有限公司</w:t>
            </w:r>
          </w:p>
        </w:tc>
        <w:tc>
          <w:tcPr>
            <w:tcW w:w="1117" w:type="dxa"/>
            <w:vAlign w:val="center"/>
          </w:tcPr>
          <w:p>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200000</w:t>
            </w:r>
          </w:p>
        </w:tc>
        <w:tc>
          <w:tcPr>
            <w:tcW w:w="1257" w:type="dxa"/>
            <w:vAlign w:val="center"/>
          </w:tcPr>
          <w:p>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p>
        </w:tc>
        <w:tc>
          <w:tcPr>
            <w:tcW w:w="1396" w:type="dxa"/>
            <w:vAlign w:val="center"/>
          </w:tcPr>
          <w:p>
            <w:pPr>
              <w:spacing w:line="300" w:lineRule="auto"/>
              <w:jc w:val="center"/>
              <w:rPr>
                <w:rFonts w:ascii="仿宋_GB2312" w:hAnsi="仿宋_GB2312" w:eastAsia="仿宋_GB2312" w:cs="仿宋_GB2312"/>
                <w:kern w:val="2"/>
                <w:sz w:val="24"/>
                <w:szCs w:val="24"/>
                <w:lang w:val="en-US" w:eastAsia="zh-CN" w:bidi="ar-SA"/>
              </w:rPr>
            </w:pPr>
          </w:p>
        </w:tc>
        <w:tc>
          <w:tcPr>
            <w:tcW w:w="1181" w:type="dxa"/>
            <w:vAlign w:val="center"/>
          </w:tcPr>
          <w:p>
            <w:pPr>
              <w:spacing w:line="300" w:lineRule="auto"/>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jc w:val="center"/>
        </w:trPr>
        <w:tc>
          <w:tcPr>
            <w:tcW w:w="693" w:type="dxa"/>
            <w:vAlign w:val="center"/>
          </w:tcPr>
          <w:p>
            <w:pPr>
              <w:widowControl/>
              <w:spacing w:line="260" w:lineRule="exact"/>
              <w:ind w:firstLine="0" w:firstLineChars="0"/>
              <w:jc w:val="center"/>
              <w:rPr>
                <w:rFonts w:hint="default"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lang w:val="en-US" w:eastAsia="zh-CN"/>
              </w:rPr>
              <w:t>23</w:t>
            </w:r>
          </w:p>
        </w:tc>
        <w:tc>
          <w:tcPr>
            <w:tcW w:w="2009" w:type="dxa"/>
            <w:vAlign w:val="center"/>
          </w:tcPr>
          <w:p>
            <w:pPr>
              <w:widowControl/>
              <w:spacing w:line="260" w:lineRule="exact"/>
              <w:ind w:firstLine="0" w:firstLineChars="0"/>
              <w:jc w:val="center"/>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三龙园区配套</w:t>
            </w:r>
          </w:p>
          <w:p>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服务建设</w:t>
            </w:r>
          </w:p>
        </w:tc>
        <w:tc>
          <w:tcPr>
            <w:tcW w:w="5448" w:type="dxa"/>
            <w:vAlign w:val="center"/>
          </w:tcPr>
          <w:p>
            <w:pPr>
              <w:widowControl/>
              <w:spacing w:line="260" w:lineRule="exact"/>
              <w:ind w:firstLine="0" w:firstLineChars="0"/>
              <w:jc w:val="left"/>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用地300亩，建设产业园区服务中心、商业、办公、会议、住宅、医疗等园区服务配套综合体。</w:t>
            </w:r>
          </w:p>
        </w:tc>
        <w:tc>
          <w:tcPr>
            <w:tcW w:w="1955" w:type="dxa"/>
            <w:vAlign w:val="center"/>
          </w:tcPr>
          <w:p>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浮梁县工业发展有限公司</w:t>
            </w:r>
          </w:p>
        </w:tc>
        <w:tc>
          <w:tcPr>
            <w:tcW w:w="1117" w:type="dxa"/>
            <w:vAlign w:val="center"/>
          </w:tcPr>
          <w:p>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bCs/>
                <w:color w:val="auto"/>
                <w:kern w:val="0"/>
                <w:sz w:val="24"/>
                <w:szCs w:val="24"/>
                <w:highlight w:val="none"/>
              </w:rPr>
              <w:t>220000</w:t>
            </w:r>
          </w:p>
        </w:tc>
        <w:tc>
          <w:tcPr>
            <w:tcW w:w="1257" w:type="dxa"/>
            <w:vAlign w:val="center"/>
          </w:tcPr>
          <w:p>
            <w:pPr>
              <w:widowControl/>
              <w:spacing w:line="260" w:lineRule="exact"/>
              <w:ind w:firstLine="0" w:firstLineChars="0"/>
              <w:jc w:val="center"/>
              <w:rPr>
                <w:rFonts w:hint="eastAsia" w:ascii="仿宋" w:hAnsi="仿宋" w:eastAsia="仿宋" w:cs="仿宋"/>
                <w:bCs/>
                <w:color w:val="auto"/>
                <w:kern w:val="0"/>
                <w:sz w:val="24"/>
                <w:szCs w:val="24"/>
                <w:highlight w:val="none"/>
                <w:lang w:val="en-US" w:eastAsia="zh-CN" w:bidi="ar-SA"/>
              </w:rPr>
            </w:pPr>
          </w:p>
        </w:tc>
        <w:tc>
          <w:tcPr>
            <w:tcW w:w="1396" w:type="dxa"/>
            <w:vAlign w:val="center"/>
          </w:tcPr>
          <w:p>
            <w:pPr>
              <w:spacing w:line="300" w:lineRule="auto"/>
              <w:jc w:val="center"/>
              <w:rPr>
                <w:rFonts w:ascii="仿宋_GB2312" w:hAnsi="仿宋_GB2312" w:eastAsia="仿宋_GB2312" w:cs="仿宋_GB2312"/>
                <w:kern w:val="2"/>
                <w:sz w:val="24"/>
                <w:szCs w:val="24"/>
                <w:lang w:val="en-US" w:eastAsia="zh-CN" w:bidi="ar-SA"/>
              </w:rPr>
            </w:pPr>
          </w:p>
        </w:tc>
        <w:tc>
          <w:tcPr>
            <w:tcW w:w="1181" w:type="dxa"/>
            <w:vAlign w:val="center"/>
          </w:tcPr>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jc w:val="center"/>
        </w:trPr>
        <w:tc>
          <w:tcPr>
            <w:tcW w:w="15056" w:type="dxa"/>
            <w:gridSpan w:val="8"/>
            <w:vAlign w:val="center"/>
          </w:tcPr>
          <w:p>
            <w:pPr>
              <w:spacing w:line="300" w:lineRule="auto"/>
              <w:jc w:val="center"/>
              <w:rPr>
                <w:rFonts w:hint="eastAsia" w:ascii="仿宋_GB2312" w:hAnsi="仿宋_GB2312" w:eastAsia="仿宋_GB2312" w:cs="仿宋_GB2312"/>
                <w:sz w:val="24"/>
              </w:rPr>
            </w:pPr>
            <w:r>
              <w:rPr>
                <w:rFonts w:hint="eastAsia" w:ascii="仿宋_GB2312" w:hAnsi="仿宋_GB2312" w:eastAsia="仿宋_GB2312" w:cs="仿宋_GB2312"/>
                <w:spacing w:val="4"/>
                <w:sz w:val="24"/>
              </w:rPr>
              <w:t>小计：</w:t>
            </w:r>
            <w:r>
              <w:rPr>
                <w:rFonts w:hint="eastAsia" w:ascii="仿宋_GB2312" w:hAnsi="仿宋_GB2312" w:eastAsia="仿宋_GB2312" w:cs="仿宋_GB2312"/>
                <w:spacing w:val="3"/>
                <w:sz w:val="24"/>
              </w:rPr>
              <w:t>总</w:t>
            </w:r>
            <w:r>
              <w:rPr>
                <w:rFonts w:hint="eastAsia" w:ascii="仿宋_GB2312" w:hAnsi="仿宋_GB2312" w:eastAsia="仿宋_GB2312" w:cs="仿宋_GB2312"/>
                <w:spacing w:val="2"/>
                <w:sz w:val="24"/>
              </w:rPr>
              <w:t>投资</w:t>
            </w:r>
            <w:r>
              <w:rPr>
                <w:rFonts w:hint="eastAsia" w:ascii="仿宋_GB2312" w:hAnsi="仿宋_GB2312" w:eastAsia="仿宋_GB2312" w:cs="仿宋_GB2312"/>
                <w:spacing w:val="2"/>
                <w:sz w:val="24"/>
                <w:lang w:val="en-US" w:eastAsia="zh-CN"/>
              </w:rPr>
              <w:t>228.3</w:t>
            </w:r>
            <w:r>
              <w:rPr>
                <w:rFonts w:hint="eastAsia" w:ascii="仿宋_GB2312" w:hAnsi="仿宋_GB2312" w:eastAsia="仿宋_GB2312" w:cs="仿宋_GB2312"/>
                <w:spacing w:val="2"/>
                <w:sz w:val="24"/>
              </w:rPr>
              <w:t>亿元</w:t>
            </w:r>
          </w:p>
        </w:tc>
      </w:tr>
    </w:tbl>
    <w:p>
      <w:pPr>
        <w:spacing w:line="300" w:lineRule="auto"/>
        <w:jc w:val="center"/>
        <w:rPr>
          <w:rFonts w:ascii="仿宋_GB2312" w:hAnsi="仿宋_GB2312" w:eastAsia="仿宋_GB2312" w:cs="仿宋_GB2312"/>
          <w:sz w:val="24"/>
        </w:rPr>
        <w:sectPr>
          <w:footerReference r:id="rId10" w:type="default"/>
          <w:pgSz w:w="16839" w:h="11906"/>
          <w:pgMar w:top="1012" w:right="778" w:bottom="1094" w:left="777" w:header="0" w:footer="855" w:gutter="0"/>
          <w:pgNumType w:fmt="decimal"/>
          <w:cols w:space="720" w:num="1"/>
        </w:sectPr>
      </w:pPr>
    </w:p>
    <w:tbl>
      <w:tblPr>
        <w:tblStyle w:val="17"/>
        <w:tblW w:w="1533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0"/>
        <w:gridCol w:w="1962"/>
        <w:gridCol w:w="5550"/>
        <w:gridCol w:w="1991"/>
        <w:gridCol w:w="1138"/>
        <w:gridCol w:w="1280"/>
        <w:gridCol w:w="1421"/>
        <w:gridCol w:w="1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jc w:val="center"/>
        </w:trPr>
        <w:tc>
          <w:tcPr>
            <w:tcW w:w="79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6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55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9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8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2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20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5335" w:type="dxa"/>
            <w:gridSpan w:val="8"/>
            <w:vAlign w:val="center"/>
          </w:tcPr>
          <w:p>
            <w:pPr>
              <w:spacing w:before="239"/>
              <w:jc w:val="center"/>
              <w:rPr>
                <w:rFonts w:ascii="仿宋_GB2312" w:hAnsi="仿宋_GB2312" w:eastAsia="仿宋_GB2312" w:cs="仿宋_GB2312"/>
                <w:sz w:val="24"/>
              </w:rPr>
            </w:pPr>
            <w:r>
              <w:rPr>
                <w:rFonts w:hint="eastAsia" w:ascii="仿宋_GB2312" w:hAnsi="仿宋_GB2312" w:eastAsia="仿宋_GB2312" w:cs="仿宋_GB2312"/>
                <w:spacing w:val="9"/>
                <w:position w:val="1"/>
                <w:sz w:val="24"/>
              </w:rPr>
              <w:t>三、基础设施项</w:t>
            </w:r>
            <w:r>
              <w:rPr>
                <w:rFonts w:hint="eastAsia" w:ascii="仿宋_GB2312" w:hAnsi="仿宋_GB2312" w:eastAsia="仿宋_GB2312" w:cs="仿宋_GB2312"/>
                <w:spacing w:val="7"/>
                <w:position w:val="1"/>
                <w:sz w:val="24"/>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790" w:type="dxa"/>
            <w:vAlign w:val="center"/>
          </w:tcPr>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24</w:t>
            </w:r>
          </w:p>
        </w:tc>
        <w:tc>
          <w:tcPr>
            <w:tcW w:w="196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浮梁县玉岭路及</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周边城市品质</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提升项目</w:t>
            </w:r>
          </w:p>
        </w:tc>
        <w:tc>
          <w:tcPr>
            <w:tcW w:w="5550"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背街小巷提升改造工程，开源街提升改造工程，玉岭路提升改造工程，县纪委楼改造项目等。</w:t>
            </w:r>
          </w:p>
        </w:tc>
        <w:tc>
          <w:tcPr>
            <w:tcW w:w="199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浮梁建设</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投资集团</w:t>
            </w:r>
          </w:p>
        </w:tc>
        <w:tc>
          <w:tcPr>
            <w:tcW w:w="113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46000</w:t>
            </w:r>
          </w:p>
        </w:tc>
        <w:tc>
          <w:tcPr>
            <w:tcW w:w="128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2021.10</w:t>
            </w:r>
          </w:p>
        </w:tc>
        <w:tc>
          <w:tcPr>
            <w:tcW w:w="142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20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center"/>
          </w:tcPr>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25</w:t>
            </w:r>
          </w:p>
        </w:tc>
        <w:tc>
          <w:tcPr>
            <w:tcW w:w="1962"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县城现代化智慧停车场项目</w:t>
            </w:r>
          </w:p>
        </w:tc>
        <w:tc>
          <w:tcPr>
            <w:tcW w:w="5550"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新建4个智能停车场及服务物管等配套设施、3个垃圾中转站、新建配建公厕6个。</w:t>
            </w:r>
          </w:p>
        </w:tc>
        <w:tc>
          <w:tcPr>
            <w:tcW w:w="199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3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25000</w:t>
            </w:r>
          </w:p>
        </w:tc>
        <w:tc>
          <w:tcPr>
            <w:tcW w:w="128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2020.04</w:t>
            </w:r>
          </w:p>
        </w:tc>
        <w:tc>
          <w:tcPr>
            <w:tcW w:w="142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2024.12</w:t>
            </w:r>
          </w:p>
        </w:tc>
        <w:tc>
          <w:tcPr>
            <w:tcW w:w="120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center"/>
          </w:tcPr>
          <w:p>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26</w:t>
            </w:r>
          </w:p>
        </w:tc>
        <w:tc>
          <w:tcPr>
            <w:tcW w:w="196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城北新区市政道路一期工程</w:t>
            </w:r>
          </w:p>
        </w:tc>
        <w:tc>
          <w:tcPr>
            <w:tcW w:w="5550"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包括浮梁大道(浮梁郡)周边道路、瓷园路(学院路至红塔路)、学院路(县衙路至浮梁大道)、友善路及周边连接道路</w:t>
            </w:r>
          </w:p>
        </w:tc>
        <w:tc>
          <w:tcPr>
            <w:tcW w:w="199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浮梁建设</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投资集团</w:t>
            </w:r>
          </w:p>
        </w:tc>
        <w:tc>
          <w:tcPr>
            <w:tcW w:w="1138"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34000</w:t>
            </w:r>
          </w:p>
        </w:tc>
        <w:tc>
          <w:tcPr>
            <w:tcW w:w="128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2022.01</w:t>
            </w:r>
          </w:p>
        </w:tc>
        <w:tc>
          <w:tcPr>
            <w:tcW w:w="142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2023.12</w:t>
            </w:r>
          </w:p>
        </w:tc>
        <w:tc>
          <w:tcPr>
            <w:tcW w:w="1203"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27</w:t>
            </w:r>
          </w:p>
        </w:tc>
        <w:tc>
          <w:tcPr>
            <w:tcW w:w="1962"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湘湖污水处理厂项目</w:t>
            </w:r>
          </w:p>
        </w:tc>
        <w:tc>
          <w:tcPr>
            <w:tcW w:w="5550"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项目占地18亩，建设污水处理能力为1000m³/天，包括铺设污水管道、进场道路，13座污水处理池，值班室、办公楼等配套设施。</w:t>
            </w:r>
          </w:p>
        </w:tc>
        <w:tc>
          <w:tcPr>
            <w:tcW w:w="199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38"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20000</w:t>
            </w:r>
          </w:p>
        </w:tc>
        <w:tc>
          <w:tcPr>
            <w:tcW w:w="128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2022.10</w:t>
            </w:r>
          </w:p>
        </w:tc>
        <w:tc>
          <w:tcPr>
            <w:tcW w:w="142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2023.10</w:t>
            </w:r>
          </w:p>
        </w:tc>
        <w:tc>
          <w:tcPr>
            <w:tcW w:w="1203"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28</w:t>
            </w:r>
          </w:p>
        </w:tc>
        <w:tc>
          <w:tcPr>
            <w:tcW w:w="1962" w:type="dxa"/>
            <w:vAlign w:val="center"/>
          </w:tcPr>
          <w:p>
            <w:pPr>
              <w:spacing w:line="300" w:lineRule="auto"/>
              <w:jc w:val="center"/>
              <w:rPr>
                <w:rFonts w:hint="eastAsia" w:ascii="仿宋_GB2312" w:hAnsi="仿宋_GB2312" w:eastAsia="仿宋_GB2312" w:cs="仿宋_GB2312"/>
                <w:sz w:val="24"/>
              </w:rPr>
            </w:pPr>
            <w:r>
              <w:rPr>
                <w:rFonts w:hint="eastAsia" w:ascii="仿宋_GB2312" w:hAnsi="仿宋_GB2312" w:eastAsia="仿宋_GB2312" w:cs="仿宋_GB2312"/>
                <w:sz w:val="24"/>
              </w:rPr>
              <w:t>浮梁县城市应急</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备用水源建设工程</w:t>
            </w:r>
          </w:p>
        </w:tc>
        <w:tc>
          <w:tcPr>
            <w:tcW w:w="5550"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项目对浮梁镇横塘坞水库进行扩容建设，设计库容增至80万m³，建设一级取水泵房，铺设横塘坞水库至大石口水厂的输水管道5㎞，并购置泵房机组及配套设施。</w:t>
            </w:r>
          </w:p>
        </w:tc>
        <w:tc>
          <w:tcPr>
            <w:tcW w:w="199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县水利局</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浮梁镇</w:t>
            </w:r>
          </w:p>
        </w:tc>
        <w:tc>
          <w:tcPr>
            <w:tcW w:w="1138"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8000</w:t>
            </w:r>
          </w:p>
        </w:tc>
        <w:tc>
          <w:tcPr>
            <w:tcW w:w="128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2022.03</w:t>
            </w:r>
          </w:p>
        </w:tc>
        <w:tc>
          <w:tcPr>
            <w:tcW w:w="142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2023.12</w:t>
            </w:r>
          </w:p>
        </w:tc>
        <w:tc>
          <w:tcPr>
            <w:tcW w:w="1203"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790" w:type="dxa"/>
            <w:vAlign w:val="top"/>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29</w:t>
            </w:r>
          </w:p>
        </w:tc>
        <w:tc>
          <w:tcPr>
            <w:tcW w:w="1962" w:type="dxa"/>
            <w:vAlign w:val="top"/>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王港乡全域土地</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综合整治安置项</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目</w:t>
            </w:r>
          </w:p>
        </w:tc>
        <w:tc>
          <w:tcPr>
            <w:tcW w:w="5550"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本项目建设内容包括建筑工程，室外配套工程等。本项目总用地面积约26666.8㎡(合约40亩)，新建安置小区建筑占地面积约为10350㎡，总建筑面积约为36000㎡。本项目容积率为1.3，建筑密度39.3％，绿地率为31％。</w:t>
            </w:r>
          </w:p>
        </w:tc>
        <w:tc>
          <w:tcPr>
            <w:tcW w:w="1991"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江西原湖建设有限公司</w:t>
            </w:r>
          </w:p>
        </w:tc>
        <w:tc>
          <w:tcPr>
            <w:tcW w:w="1138" w:type="dxa"/>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9000</w:t>
            </w:r>
          </w:p>
        </w:tc>
        <w:tc>
          <w:tcPr>
            <w:tcW w:w="128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42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203" w:type="dxa"/>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bl>
    <w:p>
      <w:pPr>
        <w:spacing w:line="300" w:lineRule="auto"/>
        <w:jc w:val="center"/>
        <w:rPr>
          <w:rFonts w:ascii="仿宋_GB2312" w:hAnsi="仿宋_GB2312" w:eastAsia="仿宋_GB2312" w:cs="仿宋_GB2312"/>
          <w:sz w:val="24"/>
        </w:rPr>
        <w:sectPr>
          <w:footerReference r:id="rId11" w:type="default"/>
          <w:pgSz w:w="16839" w:h="11906"/>
          <w:pgMar w:top="1012" w:right="778" w:bottom="1094" w:left="777" w:header="0" w:footer="855" w:gutter="0"/>
          <w:pgNumType w:fmt="decimal"/>
          <w:cols w:space="720" w:num="1"/>
        </w:sectPr>
      </w:pPr>
    </w:p>
    <w:tbl>
      <w:tblPr>
        <w:tblStyle w:val="17"/>
        <w:tblpPr w:leftFromText="180" w:rightFromText="180" w:vertAnchor="text" w:horzAnchor="page" w:tblpXSpec="center" w:tblpY="263"/>
        <w:tblOverlap w:val="never"/>
        <w:tblW w:w="152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4"/>
        <w:gridCol w:w="1947"/>
        <w:gridCol w:w="5498"/>
        <w:gridCol w:w="1983"/>
        <w:gridCol w:w="1129"/>
        <w:gridCol w:w="1271"/>
        <w:gridCol w:w="1410"/>
        <w:gridCol w:w="11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jc w:val="center"/>
        </w:trPr>
        <w:tc>
          <w:tcPr>
            <w:tcW w:w="78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4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498"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983"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2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jc w:val="center"/>
        </w:trPr>
        <w:tc>
          <w:tcPr>
            <w:tcW w:w="784" w:type="dxa"/>
            <w:vAlign w:val="top"/>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sz w:val="24"/>
              </w:rPr>
            </w:pPr>
          </w:p>
          <w:p>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30</w:t>
            </w:r>
          </w:p>
        </w:tc>
        <w:tc>
          <w:tcPr>
            <w:tcW w:w="1947" w:type="dxa"/>
            <w:vAlign w:val="top"/>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王港乡童家坂至</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马源坞(集镇道</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路)建设工程</w:t>
            </w:r>
          </w:p>
        </w:tc>
        <w:tc>
          <w:tcPr>
            <w:tcW w:w="5498"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新建道路全长1.490Km，设计一级公路，车速60km/h。</w:t>
            </w:r>
          </w:p>
        </w:tc>
        <w:tc>
          <w:tcPr>
            <w:tcW w:w="1983" w:type="dxa"/>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社会资本</w:t>
            </w:r>
          </w:p>
        </w:tc>
        <w:tc>
          <w:tcPr>
            <w:tcW w:w="1129" w:type="dxa"/>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5000</w:t>
            </w:r>
          </w:p>
        </w:tc>
        <w:tc>
          <w:tcPr>
            <w:tcW w:w="127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41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194" w:type="dxa"/>
            <w:vAlign w:val="center"/>
          </w:tcPr>
          <w:p>
            <w:pPr>
              <w:spacing w:line="300" w:lineRule="auto"/>
              <w:jc w:val="center"/>
            </w:pPr>
          </w:p>
          <w:p>
            <w:pPr>
              <w:spacing w:line="300" w:lineRule="auto"/>
              <w:jc w:val="center"/>
              <w:rPr>
                <w:rFonts w:hint="eastAsia"/>
              </w:rPr>
            </w:pPr>
            <w:r>
              <w:rPr>
                <w:rFonts w:hint="eastAsia"/>
              </w:rPr>
              <w:t>新建</w:t>
            </w:r>
          </w:p>
          <w:p>
            <w:pPr>
              <w:pStyle w:val="7"/>
              <w:jc w:val="center"/>
              <w:rPr>
                <w:rFonts w:hint="eastAsia"/>
              </w:rPr>
            </w:pPr>
          </w:p>
          <w:p>
            <w:pPr>
              <w:pStyle w:val="8"/>
              <w:jc w:val="center"/>
              <w:rPr>
                <w:rFonts w:hint="eastAsia"/>
              </w:rPr>
            </w:pPr>
          </w:p>
          <w:p>
            <w:pPr>
              <w:pStyle w:val="9"/>
              <w:jc w:val="center"/>
              <w:rPr>
                <w:rFonts w:hint="eastAsia"/>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784" w:type="dxa"/>
            <w:vAlign w:val="top"/>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31</w:t>
            </w:r>
          </w:p>
        </w:tc>
        <w:tc>
          <w:tcPr>
            <w:tcW w:w="1947" w:type="dxa"/>
            <w:vAlign w:val="top"/>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G351湘湖至三龙段改造工程</w:t>
            </w:r>
          </w:p>
        </w:tc>
        <w:tc>
          <w:tcPr>
            <w:tcW w:w="5498"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道路全长约23.8公里，按二级公路标准改造建设，设计时速80公里/小时及60公里/小时(一般路段)，</w:t>
            </w:r>
          </w:p>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双向二车道。</w:t>
            </w:r>
          </w:p>
        </w:tc>
        <w:tc>
          <w:tcPr>
            <w:tcW w:w="1983" w:type="dxa"/>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29" w:type="dxa"/>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18000</w:t>
            </w:r>
          </w:p>
        </w:tc>
        <w:tc>
          <w:tcPr>
            <w:tcW w:w="127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41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194" w:type="dxa"/>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0" w:hRule="atLeast"/>
          <w:jc w:val="center"/>
        </w:trPr>
        <w:tc>
          <w:tcPr>
            <w:tcW w:w="784" w:type="dxa"/>
            <w:vAlign w:val="top"/>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32</w:t>
            </w:r>
          </w:p>
        </w:tc>
        <w:tc>
          <w:tcPr>
            <w:tcW w:w="1947" w:type="dxa"/>
            <w:vAlign w:val="top"/>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浮梁县城智慧停车系统</w:t>
            </w:r>
          </w:p>
        </w:tc>
        <w:tc>
          <w:tcPr>
            <w:tcW w:w="5498" w:type="dxa"/>
            <w:vAlign w:val="center"/>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建设智慧停车管理系统，利用地磁＋物联卡，高位相机+巡检终端，配置车牌识别智慧车场控制机、收费控制终端、触发雷达、E T C读卡天线等对县城路内路外停车位1.2万个停车位改造。对小区进行智慧停车场改造，建设充电桩。</w:t>
            </w:r>
          </w:p>
        </w:tc>
        <w:tc>
          <w:tcPr>
            <w:tcW w:w="1983"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县城管局</w:t>
            </w:r>
          </w:p>
        </w:tc>
        <w:tc>
          <w:tcPr>
            <w:tcW w:w="1129"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5000</w:t>
            </w:r>
          </w:p>
        </w:tc>
        <w:tc>
          <w:tcPr>
            <w:tcW w:w="1271"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410"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p>
        </w:tc>
        <w:tc>
          <w:tcPr>
            <w:tcW w:w="1194"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3" w:hRule="atLeast"/>
          <w:jc w:val="center"/>
        </w:trPr>
        <w:tc>
          <w:tcPr>
            <w:tcW w:w="15216" w:type="dxa"/>
            <w:gridSpan w:val="8"/>
            <w:vAlign w:val="center"/>
          </w:tcPr>
          <w:p>
            <w:pPr>
              <w:pStyle w:val="9"/>
              <w:ind w:left="0" w:leftChars="0" w:firstLine="0" w:firstLineChars="0"/>
              <w:jc w:val="center"/>
              <w:rPr>
                <w:rFonts w:hint="eastAsia"/>
                <w:lang w:val="en-US" w:eastAsia="zh-CN"/>
              </w:rPr>
            </w:pPr>
            <w:r>
              <w:rPr>
                <w:rFonts w:hint="eastAsia" w:ascii="仿宋_GB2312" w:hAnsi="仿宋_GB2312" w:eastAsia="仿宋_GB2312" w:cs="仿宋_GB2312"/>
                <w:spacing w:val="4"/>
                <w:sz w:val="24"/>
              </w:rPr>
              <w:t>小计</w:t>
            </w:r>
            <w:r>
              <w:rPr>
                <w:rFonts w:hint="eastAsia" w:ascii="仿宋_GB2312" w:hAnsi="仿宋_GB2312" w:eastAsia="仿宋_GB2312" w:cs="仿宋_GB2312"/>
                <w:spacing w:val="2"/>
                <w:sz w:val="24"/>
              </w:rPr>
              <w:t>：总投资</w:t>
            </w:r>
            <w:r>
              <w:rPr>
                <w:rFonts w:hint="eastAsia" w:ascii="仿宋_GB2312" w:hAnsi="仿宋_GB2312" w:eastAsia="仿宋_GB2312" w:cs="仿宋_GB2312"/>
                <w:spacing w:val="2"/>
                <w:sz w:val="24"/>
                <w:lang w:val="en-US" w:eastAsia="zh-CN"/>
              </w:rPr>
              <w:t>17</w:t>
            </w:r>
            <w:r>
              <w:rPr>
                <w:rFonts w:hint="eastAsia" w:ascii="仿宋_GB2312" w:hAnsi="仿宋_GB2312" w:eastAsia="仿宋_GB2312" w:cs="仿宋_GB2312"/>
                <w:spacing w:val="2"/>
                <w:sz w:val="24"/>
              </w:rPr>
              <w:t>亿元</w:t>
            </w:r>
          </w:p>
        </w:tc>
      </w:tr>
    </w:tbl>
    <w:tbl>
      <w:tblPr>
        <w:tblStyle w:val="17"/>
        <w:tblW w:w="1525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950"/>
        <w:gridCol w:w="5582"/>
        <w:gridCol w:w="1909"/>
        <w:gridCol w:w="1131"/>
        <w:gridCol w:w="14"/>
        <w:gridCol w:w="1274"/>
        <w:gridCol w:w="1414"/>
        <w:gridCol w:w="11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85" w:type="dxa"/>
            <w:tcBorders>
              <w:right w:val="single" w:color="auto" w:sz="4" w:space="0"/>
            </w:tcBorders>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序号</w:t>
            </w:r>
          </w:p>
        </w:tc>
        <w:tc>
          <w:tcPr>
            <w:tcW w:w="1950" w:type="dxa"/>
            <w:tcBorders>
              <w:left w:val="single" w:color="auto" w:sz="4" w:space="0"/>
              <w:right w:val="single" w:color="auto" w:sz="4" w:space="0"/>
            </w:tcBorders>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项目名称</w:t>
            </w:r>
          </w:p>
        </w:tc>
        <w:tc>
          <w:tcPr>
            <w:tcW w:w="5582" w:type="dxa"/>
            <w:tcBorders>
              <w:left w:val="single" w:color="auto" w:sz="4" w:space="0"/>
              <w:right w:val="single" w:color="auto" w:sz="4" w:space="0"/>
            </w:tcBorders>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建设内容</w:t>
            </w:r>
          </w:p>
        </w:tc>
        <w:tc>
          <w:tcPr>
            <w:tcW w:w="1909" w:type="dxa"/>
            <w:tcBorders>
              <w:left w:val="single" w:color="auto" w:sz="4" w:space="0"/>
              <w:right w:val="single" w:color="auto" w:sz="4" w:space="0"/>
            </w:tcBorders>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建设单位</w:t>
            </w:r>
          </w:p>
        </w:tc>
        <w:tc>
          <w:tcPr>
            <w:tcW w:w="1145" w:type="dxa"/>
            <w:gridSpan w:val="2"/>
            <w:tcBorders>
              <w:left w:val="single" w:color="auto" w:sz="4" w:space="0"/>
              <w:right w:val="single" w:color="auto" w:sz="4" w:space="0"/>
            </w:tcBorders>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(万元)</w:t>
            </w:r>
          </w:p>
        </w:tc>
        <w:tc>
          <w:tcPr>
            <w:tcW w:w="1274" w:type="dxa"/>
            <w:tcBorders>
              <w:left w:val="single" w:color="auto" w:sz="4" w:space="0"/>
              <w:right w:val="single" w:color="auto" w:sz="4" w:space="0"/>
            </w:tcBorders>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开工时间</w:t>
            </w:r>
          </w:p>
        </w:tc>
        <w:tc>
          <w:tcPr>
            <w:tcW w:w="1414" w:type="dxa"/>
            <w:tcBorders>
              <w:left w:val="single" w:color="auto" w:sz="4" w:space="0"/>
              <w:right w:val="single" w:color="auto" w:sz="4" w:space="0"/>
            </w:tcBorders>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竣工时间</w:t>
            </w:r>
          </w:p>
        </w:tc>
        <w:tc>
          <w:tcPr>
            <w:tcW w:w="1197" w:type="dxa"/>
            <w:tcBorders>
              <w:left w:val="single" w:color="auto" w:sz="4" w:space="0"/>
            </w:tcBorders>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256" w:type="dxa"/>
            <w:gridSpan w:val="9"/>
          </w:tcPr>
          <w:p>
            <w:pPr>
              <w:spacing w:before="152" w:line="230" w:lineRule="auto"/>
              <w:ind w:left="6706"/>
              <w:jc w:val="both"/>
              <w:rPr>
                <w:rFonts w:ascii="仿宋_GB2312" w:hAnsi="仿宋_GB2312" w:eastAsia="仿宋_GB2312" w:cs="仿宋_GB2312"/>
                <w:sz w:val="24"/>
              </w:rPr>
            </w:pPr>
            <w:r>
              <w:rPr>
                <w:rFonts w:hint="eastAsia" w:ascii="仿宋_GB2312" w:hAnsi="仿宋_GB2312" w:eastAsia="仿宋_GB2312" w:cs="仿宋_GB2312"/>
                <w:spacing w:val="6"/>
                <w:sz w:val="24"/>
              </w:rPr>
              <w:t>四、公共服务项目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78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33</w:t>
            </w:r>
          </w:p>
        </w:tc>
        <w:tc>
          <w:tcPr>
            <w:tcW w:w="1950"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浮梁人才振兴培训基地建设项目</w:t>
            </w:r>
          </w:p>
        </w:tc>
        <w:tc>
          <w:tcPr>
            <w:tcW w:w="5582" w:type="dxa"/>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用地面积为372.36亩，项目总建筑面积为18.5万㎡，建设内容包括教室、办公用房、体育馆、多功能厅、食堂、地下室、智慧设备及配套实施。</w:t>
            </w:r>
          </w:p>
        </w:tc>
        <w:tc>
          <w:tcPr>
            <w:tcW w:w="190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浮梁建设</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投资集团</w:t>
            </w:r>
          </w:p>
        </w:tc>
        <w:tc>
          <w:tcPr>
            <w:tcW w:w="1131"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145000</w:t>
            </w:r>
          </w:p>
        </w:tc>
        <w:tc>
          <w:tcPr>
            <w:tcW w:w="1288"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2021.03</w:t>
            </w:r>
          </w:p>
        </w:tc>
        <w:tc>
          <w:tcPr>
            <w:tcW w:w="141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2024.08</w:t>
            </w:r>
          </w:p>
        </w:tc>
        <w:tc>
          <w:tcPr>
            <w:tcW w:w="1197" w:type="dxa"/>
            <w:vAlign w:val="center"/>
          </w:tcPr>
          <w:p>
            <w:pPr>
              <w:spacing w:line="300" w:lineRule="auto"/>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1" w:hRule="atLeast"/>
        </w:trPr>
        <w:tc>
          <w:tcPr>
            <w:tcW w:w="785" w:type="dxa"/>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34</w:t>
            </w:r>
          </w:p>
        </w:tc>
        <w:tc>
          <w:tcPr>
            <w:tcW w:w="1950" w:type="dxa"/>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景德镇陶瓷大学</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人才公寓</w:t>
            </w:r>
          </w:p>
        </w:tc>
        <w:tc>
          <w:tcPr>
            <w:tcW w:w="5582"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总建筑面积约29万㎡，建设各类住宅及配套基础设</w:t>
            </w:r>
          </w:p>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施。</w:t>
            </w:r>
          </w:p>
        </w:tc>
        <w:tc>
          <w:tcPr>
            <w:tcW w:w="190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陶文旅集团</w:t>
            </w:r>
          </w:p>
        </w:tc>
        <w:tc>
          <w:tcPr>
            <w:tcW w:w="1145"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180000</w:t>
            </w:r>
          </w:p>
        </w:tc>
        <w:tc>
          <w:tcPr>
            <w:tcW w:w="127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2022.01</w:t>
            </w:r>
          </w:p>
        </w:tc>
        <w:tc>
          <w:tcPr>
            <w:tcW w:w="141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2024.12</w:t>
            </w:r>
          </w:p>
        </w:tc>
        <w:tc>
          <w:tcPr>
            <w:tcW w:w="1197"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785" w:type="dxa"/>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35</w:t>
            </w:r>
          </w:p>
        </w:tc>
        <w:tc>
          <w:tcPr>
            <w:tcW w:w="1950" w:type="dxa"/>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浮梁县职业学校</w:t>
            </w:r>
          </w:p>
        </w:tc>
        <w:tc>
          <w:tcPr>
            <w:tcW w:w="5582"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本项目总用地面积135457.44平方米，总建筑面积</w:t>
            </w:r>
          </w:p>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为119014.98平方米。共计学位数4500个。</w:t>
            </w:r>
          </w:p>
        </w:tc>
        <w:tc>
          <w:tcPr>
            <w:tcW w:w="190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45"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63000</w:t>
            </w:r>
          </w:p>
        </w:tc>
        <w:tc>
          <w:tcPr>
            <w:tcW w:w="127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2022.03</w:t>
            </w:r>
          </w:p>
        </w:tc>
        <w:tc>
          <w:tcPr>
            <w:tcW w:w="141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2024.09</w:t>
            </w:r>
          </w:p>
        </w:tc>
        <w:tc>
          <w:tcPr>
            <w:tcW w:w="1197"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785" w:type="dxa"/>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36</w:t>
            </w:r>
          </w:p>
        </w:tc>
        <w:tc>
          <w:tcPr>
            <w:tcW w:w="1950"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浮梁县新一中</w:t>
            </w:r>
          </w:p>
        </w:tc>
        <w:tc>
          <w:tcPr>
            <w:tcW w:w="5582"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建设规模：项目总投资49915.66万元，规划建设用地面积约184.11亩，总建设面积102600.41m2。</w:t>
            </w:r>
          </w:p>
        </w:tc>
        <w:tc>
          <w:tcPr>
            <w:tcW w:w="1909"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县教体局</w:t>
            </w:r>
          </w:p>
        </w:tc>
        <w:tc>
          <w:tcPr>
            <w:tcW w:w="1145"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50000</w:t>
            </w:r>
          </w:p>
        </w:tc>
        <w:tc>
          <w:tcPr>
            <w:tcW w:w="127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2022.01</w:t>
            </w:r>
          </w:p>
        </w:tc>
        <w:tc>
          <w:tcPr>
            <w:tcW w:w="141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7"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续建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78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37</w:t>
            </w:r>
          </w:p>
        </w:tc>
        <w:tc>
          <w:tcPr>
            <w:tcW w:w="1950" w:type="dxa"/>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浮梁县国联医疗</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信息大楼(含妇</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保医院)</w:t>
            </w:r>
          </w:p>
        </w:tc>
        <w:tc>
          <w:tcPr>
            <w:tcW w:w="5582"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占地面积2.6万平方米，建筑面积6.8万平方米，规划床位500张。</w:t>
            </w:r>
          </w:p>
        </w:tc>
        <w:tc>
          <w:tcPr>
            <w:tcW w:w="1909"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45"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50000</w:t>
            </w:r>
          </w:p>
        </w:tc>
        <w:tc>
          <w:tcPr>
            <w:tcW w:w="127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2022.05</w:t>
            </w:r>
          </w:p>
        </w:tc>
        <w:tc>
          <w:tcPr>
            <w:tcW w:w="141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2023.12</w:t>
            </w:r>
          </w:p>
        </w:tc>
        <w:tc>
          <w:tcPr>
            <w:tcW w:w="1197"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新建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785" w:type="dxa"/>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38</w:t>
            </w:r>
          </w:p>
        </w:tc>
        <w:tc>
          <w:tcPr>
            <w:tcW w:w="1950"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浮梁县社会养老</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服务中心改扩建</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w:t>
            </w:r>
          </w:p>
        </w:tc>
        <w:tc>
          <w:tcPr>
            <w:tcW w:w="5582" w:type="dxa"/>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项目总用地面积66949.2㎡，总建筑面积69148.44平方米，本项目包括本项目包含康复中心、综合楼、接待大厅、老年居住用房、风雨球场、地下室以及室外道路、绿化、景观、给排水、电力等基础设施和配套工程。</w:t>
            </w:r>
          </w:p>
        </w:tc>
        <w:tc>
          <w:tcPr>
            <w:tcW w:w="1909"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县民政局</w:t>
            </w:r>
          </w:p>
        </w:tc>
        <w:tc>
          <w:tcPr>
            <w:tcW w:w="1145"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23000</w:t>
            </w:r>
          </w:p>
        </w:tc>
        <w:tc>
          <w:tcPr>
            <w:tcW w:w="127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2022.04</w:t>
            </w:r>
          </w:p>
        </w:tc>
        <w:tc>
          <w:tcPr>
            <w:tcW w:w="141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2024.4</w:t>
            </w:r>
          </w:p>
        </w:tc>
        <w:tc>
          <w:tcPr>
            <w:tcW w:w="1197"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新建</w:t>
            </w:r>
          </w:p>
        </w:tc>
      </w:tr>
    </w:tbl>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sectPr>
          <w:footerReference r:id="rId12" w:type="default"/>
          <w:pgSz w:w="16839" w:h="11906"/>
          <w:pgMar w:top="1012" w:right="778" w:bottom="1090" w:left="777" w:header="0" w:footer="855" w:gutter="0"/>
          <w:pgNumType w:fmt="decimal"/>
          <w:cols w:space="720" w:num="1"/>
        </w:sectPr>
      </w:pPr>
    </w:p>
    <w:p>
      <w:pPr>
        <w:spacing w:line="300" w:lineRule="auto"/>
        <w:jc w:val="center"/>
        <w:rPr>
          <w:rFonts w:ascii="仿宋_GB2312" w:hAnsi="仿宋_GB2312" w:eastAsia="仿宋_GB2312" w:cs="仿宋_GB2312"/>
          <w:sz w:val="24"/>
        </w:rPr>
      </w:pPr>
    </w:p>
    <w:tbl>
      <w:tblPr>
        <w:tblStyle w:val="17"/>
        <w:tblW w:w="1527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764"/>
        <w:gridCol w:w="23"/>
        <w:gridCol w:w="1955"/>
        <w:gridCol w:w="5682"/>
        <w:gridCol w:w="4"/>
        <w:gridCol w:w="1824"/>
        <w:gridCol w:w="1129"/>
        <w:gridCol w:w="5"/>
        <w:gridCol w:w="1276"/>
        <w:gridCol w:w="5"/>
        <w:gridCol w:w="1411"/>
        <w:gridCol w:w="3"/>
        <w:gridCol w:w="11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09" w:hRule="atLeast"/>
        </w:trPr>
        <w:tc>
          <w:tcPr>
            <w:tcW w:w="787" w:type="dxa"/>
            <w:gridSpan w:val="2"/>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55"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686" w:type="dxa"/>
            <w:gridSpan w:val="2"/>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824"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4" w:type="dxa"/>
            <w:gridSpan w:val="2"/>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6"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6" w:type="dxa"/>
            <w:gridSpan w:val="2"/>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5" w:type="dxa"/>
            <w:gridSpan w:val="2"/>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42" w:hRule="atLeast"/>
        </w:trPr>
        <w:tc>
          <w:tcPr>
            <w:tcW w:w="787" w:type="dxa"/>
            <w:gridSpan w:val="2"/>
            <w:vAlign w:val="top"/>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39</w:t>
            </w:r>
          </w:p>
        </w:tc>
        <w:tc>
          <w:tcPr>
            <w:tcW w:w="1955" w:type="dxa"/>
            <w:vAlign w:val="center"/>
          </w:tcPr>
          <w:p>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浮梁县人民医院迁建项目</w:t>
            </w:r>
          </w:p>
        </w:tc>
        <w:tc>
          <w:tcPr>
            <w:tcW w:w="5686" w:type="dxa"/>
            <w:gridSpan w:val="2"/>
            <w:vAlign w:val="center"/>
          </w:tcPr>
          <w:p>
            <w:pPr>
              <w:spacing w:line="300" w:lineRule="auto"/>
              <w:jc w:val="left"/>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总建筑面积64400㎡。总床位560张，拟建门急诊综合大楼12000㎡、住院大楼30000㎡、医技大楼8000㎡、后勤保障等用房7500㎡、</w:t>
            </w:r>
            <w:r>
              <w:rPr>
                <w:rFonts w:hint="eastAsia" w:ascii="仿宋_GB2312" w:hAnsi="仿宋_GB2312" w:eastAsia="仿宋_GB2312" w:cs="仿宋_GB2312"/>
                <w:sz w:val="24"/>
                <w:lang w:eastAsia="zh-CN"/>
              </w:rPr>
              <w:t>其他辅助</w:t>
            </w:r>
            <w:r>
              <w:rPr>
                <w:rFonts w:hint="eastAsia" w:ascii="仿宋_GB2312" w:hAnsi="仿宋_GB2312" w:eastAsia="仿宋_GB2312" w:cs="仿宋_GB2312"/>
                <w:sz w:val="24"/>
              </w:rPr>
              <w:t>设施建设6900㎡。</w:t>
            </w:r>
          </w:p>
        </w:tc>
        <w:tc>
          <w:tcPr>
            <w:tcW w:w="1824" w:type="dxa"/>
            <w:vAlign w:val="center"/>
          </w:tcPr>
          <w:p>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34" w:type="dxa"/>
            <w:gridSpan w:val="2"/>
            <w:vAlign w:val="center"/>
          </w:tcPr>
          <w:p>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32000</w:t>
            </w:r>
          </w:p>
        </w:tc>
        <w:tc>
          <w:tcPr>
            <w:tcW w:w="1276" w:type="dxa"/>
            <w:vAlign w:val="center"/>
          </w:tcPr>
          <w:p>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2022.12</w:t>
            </w:r>
          </w:p>
        </w:tc>
        <w:tc>
          <w:tcPr>
            <w:tcW w:w="1416" w:type="dxa"/>
            <w:gridSpan w:val="2"/>
            <w:vAlign w:val="center"/>
          </w:tcPr>
          <w:p>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2024.12</w:t>
            </w:r>
          </w:p>
        </w:tc>
        <w:tc>
          <w:tcPr>
            <w:tcW w:w="1195" w:type="dxa"/>
            <w:gridSpan w:val="2"/>
            <w:vAlign w:val="center"/>
          </w:tcPr>
          <w:p>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新建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42" w:hRule="atLeast"/>
        </w:trPr>
        <w:tc>
          <w:tcPr>
            <w:tcW w:w="787" w:type="dxa"/>
            <w:gridSpan w:val="2"/>
            <w:vAlign w:val="top"/>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lang w:val="en-US" w:eastAsia="zh-CN"/>
              </w:rPr>
              <w:t>40</w:t>
            </w:r>
          </w:p>
        </w:tc>
        <w:tc>
          <w:tcPr>
            <w:tcW w:w="1955"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浮梁县殡葬服务中心建设项目</w:t>
            </w:r>
          </w:p>
        </w:tc>
        <w:tc>
          <w:tcPr>
            <w:tcW w:w="5686" w:type="dxa"/>
            <w:gridSpan w:val="2"/>
            <w:vAlign w:val="top"/>
          </w:tcPr>
          <w:p>
            <w:pPr>
              <w:spacing w:line="300" w:lineRule="auto"/>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项目规划总用地面积约100亩。新建配套公墓6000穴。</w:t>
            </w:r>
          </w:p>
        </w:tc>
        <w:tc>
          <w:tcPr>
            <w:tcW w:w="1824" w:type="dxa"/>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浮梁发展集团</w:t>
            </w:r>
          </w:p>
        </w:tc>
        <w:tc>
          <w:tcPr>
            <w:tcW w:w="1134" w:type="dxa"/>
            <w:gridSpan w:val="2"/>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9000</w:t>
            </w:r>
          </w:p>
        </w:tc>
        <w:tc>
          <w:tcPr>
            <w:tcW w:w="1276" w:type="dxa"/>
            <w:vAlign w:val="center"/>
          </w:tcPr>
          <w:p>
            <w:pPr>
              <w:spacing w:line="300" w:lineRule="auto"/>
              <w:jc w:val="center"/>
              <w:rPr>
                <w:rFonts w:ascii="仿宋_GB2312" w:hAnsi="仿宋_GB2312" w:eastAsia="仿宋_GB2312" w:cs="仿宋_GB2312"/>
                <w:kern w:val="2"/>
                <w:sz w:val="24"/>
                <w:szCs w:val="24"/>
                <w:lang w:val="en-US" w:eastAsia="zh-CN" w:bidi="ar-SA"/>
              </w:rPr>
            </w:pPr>
          </w:p>
        </w:tc>
        <w:tc>
          <w:tcPr>
            <w:tcW w:w="1416" w:type="dxa"/>
            <w:gridSpan w:val="2"/>
            <w:vAlign w:val="center"/>
          </w:tcPr>
          <w:p>
            <w:pPr>
              <w:spacing w:line="300" w:lineRule="auto"/>
              <w:jc w:val="center"/>
              <w:rPr>
                <w:rFonts w:ascii="仿宋_GB2312" w:hAnsi="仿宋_GB2312" w:eastAsia="仿宋_GB2312" w:cs="仿宋_GB2312"/>
                <w:kern w:val="2"/>
                <w:sz w:val="24"/>
                <w:szCs w:val="24"/>
                <w:lang w:val="en-US" w:eastAsia="zh-CN" w:bidi="ar-SA"/>
              </w:rPr>
            </w:pPr>
          </w:p>
        </w:tc>
        <w:tc>
          <w:tcPr>
            <w:tcW w:w="1195"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482" w:hRule="atLeast"/>
        </w:trPr>
        <w:tc>
          <w:tcPr>
            <w:tcW w:w="787" w:type="dxa"/>
            <w:gridSpan w:val="2"/>
            <w:vAlign w:val="center"/>
          </w:tcPr>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41</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汽车站整体搬迁项目</w:t>
            </w:r>
          </w:p>
        </w:tc>
        <w:tc>
          <w:tcPr>
            <w:tcW w:w="5686" w:type="dxa"/>
            <w:gridSpan w:val="2"/>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谋划搬迁我县汽车站。</w:t>
            </w:r>
          </w:p>
        </w:tc>
        <w:tc>
          <w:tcPr>
            <w:tcW w:w="182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县交通局</w:t>
            </w:r>
          </w:p>
        </w:tc>
        <w:tc>
          <w:tcPr>
            <w:tcW w:w="1134"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10000</w:t>
            </w:r>
          </w:p>
        </w:tc>
        <w:tc>
          <w:tcPr>
            <w:tcW w:w="1276" w:type="dxa"/>
            <w:vAlign w:val="center"/>
          </w:tcPr>
          <w:p>
            <w:pPr>
              <w:spacing w:line="300" w:lineRule="auto"/>
              <w:jc w:val="center"/>
              <w:rPr>
                <w:rFonts w:ascii="仿宋_GB2312" w:hAnsi="仿宋_GB2312" w:eastAsia="仿宋_GB2312" w:cs="仿宋_GB2312"/>
                <w:sz w:val="24"/>
              </w:rPr>
            </w:pPr>
          </w:p>
        </w:tc>
        <w:tc>
          <w:tcPr>
            <w:tcW w:w="1416" w:type="dxa"/>
            <w:gridSpan w:val="2"/>
            <w:vAlign w:val="center"/>
          </w:tcPr>
          <w:p>
            <w:pPr>
              <w:spacing w:line="300" w:lineRule="auto"/>
              <w:jc w:val="center"/>
              <w:rPr>
                <w:rFonts w:ascii="仿宋_GB2312" w:hAnsi="仿宋_GB2312" w:eastAsia="仿宋_GB2312" w:cs="仿宋_GB2312"/>
                <w:sz w:val="24"/>
              </w:rPr>
            </w:pPr>
          </w:p>
        </w:tc>
        <w:tc>
          <w:tcPr>
            <w:tcW w:w="1195"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695" w:hRule="atLeast"/>
        </w:trPr>
        <w:tc>
          <w:tcPr>
            <w:tcW w:w="787" w:type="dxa"/>
            <w:gridSpan w:val="2"/>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42</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浮梁四馆建设项目</w:t>
            </w:r>
          </w:p>
        </w:tc>
        <w:tc>
          <w:tcPr>
            <w:tcW w:w="5686" w:type="dxa"/>
            <w:gridSpan w:val="2"/>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新建图书馆、科技馆、展览馆及其附属设施，总用地30亩，总建筑面积约2万平方米。</w:t>
            </w:r>
          </w:p>
        </w:tc>
        <w:tc>
          <w:tcPr>
            <w:tcW w:w="182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34"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10000</w:t>
            </w:r>
          </w:p>
        </w:tc>
        <w:tc>
          <w:tcPr>
            <w:tcW w:w="1276" w:type="dxa"/>
            <w:vAlign w:val="center"/>
          </w:tcPr>
          <w:p>
            <w:pPr>
              <w:spacing w:line="300" w:lineRule="auto"/>
              <w:jc w:val="center"/>
              <w:rPr>
                <w:rFonts w:ascii="仿宋_GB2312" w:hAnsi="仿宋_GB2312" w:eastAsia="仿宋_GB2312" w:cs="仿宋_GB2312"/>
                <w:sz w:val="24"/>
              </w:rPr>
            </w:pPr>
          </w:p>
        </w:tc>
        <w:tc>
          <w:tcPr>
            <w:tcW w:w="1416" w:type="dxa"/>
            <w:gridSpan w:val="2"/>
            <w:vAlign w:val="center"/>
          </w:tcPr>
          <w:p>
            <w:pPr>
              <w:spacing w:line="300" w:lineRule="auto"/>
              <w:jc w:val="center"/>
              <w:rPr>
                <w:rFonts w:ascii="仿宋_GB2312" w:hAnsi="仿宋_GB2312" w:eastAsia="仿宋_GB2312" w:cs="仿宋_GB2312"/>
                <w:sz w:val="24"/>
              </w:rPr>
            </w:pPr>
          </w:p>
        </w:tc>
        <w:tc>
          <w:tcPr>
            <w:tcW w:w="1195"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11" w:hRule="atLeast"/>
        </w:trPr>
        <w:tc>
          <w:tcPr>
            <w:tcW w:w="787" w:type="dxa"/>
            <w:gridSpan w:val="2"/>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43</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森林运动文化公园</w:t>
            </w:r>
          </w:p>
        </w:tc>
        <w:tc>
          <w:tcPr>
            <w:tcW w:w="5686" w:type="dxa"/>
            <w:gridSpan w:val="2"/>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规划用地约370亩，新建服务中心、公厕等公园内配套设施。</w:t>
            </w:r>
          </w:p>
        </w:tc>
        <w:tc>
          <w:tcPr>
            <w:tcW w:w="1824"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浮梁发展集团</w:t>
            </w:r>
          </w:p>
        </w:tc>
        <w:tc>
          <w:tcPr>
            <w:tcW w:w="1134"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10000</w:t>
            </w:r>
          </w:p>
        </w:tc>
        <w:tc>
          <w:tcPr>
            <w:tcW w:w="1276" w:type="dxa"/>
            <w:vAlign w:val="center"/>
          </w:tcPr>
          <w:p>
            <w:pPr>
              <w:spacing w:line="300" w:lineRule="auto"/>
              <w:jc w:val="center"/>
              <w:rPr>
                <w:rFonts w:ascii="仿宋_GB2312" w:hAnsi="仿宋_GB2312" w:eastAsia="仿宋_GB2312" w:cs="仿宋_GB2312"/>
                <w:sz w:val="24"/>
              </w:rPr>
            </w:pPr>
          </w:p>
        </w:tc>
        <w:tc>
          <w:tcPr>
            <w:tcW w:w="1416" w:type="dxa"/>
            <w:gridSpan w:val="2"/>
            <w:vAlign w:val="center"/>
          </w:tcPr>
          <w:p>
            <w:pPr>
              <w:spacing w:line="300" w:lineRule="auto"/>
              <w:jc w:val="center"/>
              <w:rPr>
                <w:rFonts w:ascii="仿宋_GB2312" w:hAnsi="仿宋_GB2312" w:eastAsia="仿宋_GB2312" w:cs="仿宋_GB2312"/>
                <w:sz w:val="24"/>
              </w:rPr>
            </w:pPr>
          </w:p>
        </w:tc>
        <w:tc>
          <w:tcPr>
            <w:tcW w:w="1195"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81" w:hRule="atLeast"/>
        </w:trPr>
        <w:tc>
          <w:tcPr>
            <w:tcW w:w="787" w:type="dxa"/>
            <w:gridSpan w:val="2"/>
          </w:tcPr>
          <w:p>
            <w:pPr>
              <w:spacing w:line="300" w:lineRule="auto"/>
              <w:jc w:val="center"/>
              <w:rPr>
                <w:rFonts w:ascii="仿宋_GB2312" w:hAnsi="仿宋_GB2312" w:eastAsia="仿宋_GB2312" w:cs="仿宋_GB2312"/>
                <w:sz w:val="24"/>
              </w:rPr>
            </w:pPr>
          </w:p>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44</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景德镇昌南中等专业学校(景德镇女子职业学院)项目</w:t>
            </w:r>
          </w:p>
        </w:tc>
        <w:tc>
          <w:tcPr>
            <w:tcW w:w="5686" w:type="dxa"/>
            <w:gridSpan w:val="2"/>
            <w:vAlign w:val="center"/>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总用地面积384.4亩，分两期建设，一期160亩，二期224.4亩，总建筑面积19.2万平方米。</w:t>
            </w:r>
          </w:p>
        </w:tc>
        <w:tc>
          <w:tcPr>
            <w:tcW w:w="182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景德镇双牛教育科技有限公司</w:t>
            </w:r>
          </w:p>
        </w:tc>
        <w:tc>
          <w:tcPr>
            <w:tcW w:w="1134" w:type="dxa"/>
            <w:gridSpan w:val="2"/>
            <w:vAlign w:val="center"/>
          </w:tcPr>
          <w:p>
            <w:pPr>
              <w:spacing w:line="300" w:lineRule="auto"/>
              <w:ind w:firstLine="240" w:firstLineChars="100"/>
              <w:jc w:val="center"/>
              <w:rPr>
                <w:rFonts w:hint="eastAsia" w:ascii="仿宋_GB2312" w:hAnsi="仿宋_GB2312" w:eastAsia="仿宋_GB2312" w:cs="仿宋_GB2312"/>
                <w:sz w:val="24"/>
              </w:rPr>
            </w:pPr>
          </w:p>
          <w:p>
            <w:pPr>
              <w:spacing w:line="300" w:lineRule="auto"/>
              <w:ind w:firstLine="240" w:firstLineChars="100"/>
              <w:jc w:val="center"/>
              <w:rPr>
                <w:rFonts w:ascii="仿宋_GB2312" w:hAnsi="仿宋_GB2312" w:eastAsia="仿宋_GB2312" w:cs="仿宋_GB2312"/>
                <w:sz w:val="24"/>
              </w:rPr>
            </w:pPr>
            <w:r>
              <w:rPr>
                <w:rFonts w:hint="eastAsia" w:ascii="仿宋_GB2312" w:hAnsi="仿宋_GB2312" w:eastAsia="仿宋_GB2312" w:cs="仿宋_GB2312"/>
                <w:sz w:val="24"/>
              </w:rPr>
              <w:t>70000</w:t>
            </w:r>
          </w:p>
        </w:tc>
        <w:tc>
          <w:tcPr>
            <w:tcW w:w="1276" w:type="dxa"/>
            <w:vAlign w:val="center"/>
          </w:tcPr>
          <w:p>
            <w:pPr>
              <w:spacing w:line="300" w:lineRule="auto"/>
              <w:jc w:val="center"/>
              <w:rPr>
                <w:rFonts w:ascii="仿宋_GB2312" w:hAnsi="仿宋_GB2312" w:eastAsia="仿宋_GB2312" w:cs="仿宋_GB2312"/>
                <w:sz w:val="24"/>
              </w:rPr>
            </w:pPr>
          </w:p>
        </w:tc>
        <w:tc>
          <w:tcPr>
            <w:tcW w:w="1416" w:type="dxa"/>
            <w:gridSpan w:val="2"/>
            <w:vAlign w:val="center"/>
          </w:tcPr>
          <w:p>
            <w:pPr>
              <w:spacing w:line="300" w:lineRule="auto"/>
              <w:jc w:val="center"/>
              <w:rPr>
                <w:rFonts w:ascii="仿宋_GB2312" w:hAnsi="仿宋_GB2312" w:eastAsia="仿宋_GB2312" w:cs="仿宋_GB2312"/>
                <w:sz w:val="24"/>
              </w:rPr>
            </w:pPr>
          </w:p>
        </w:tc>
        <w:tc>
          <w:tcPr>
            <w:tcW w:w="1195"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149" w:hRule="atLeast"/>
        </w:trPr>
        <w:tc>
          <w:tcPr>
            <w:tcW w:w="787" w:type="dxa"/>
            <w:gridSpan w:val="2"/>
            <w:vAlign w:val="center"/>
          </w:tcPr>
          <w:p>
            <w:pPr>
              <w:spacing w:line="300" w:lineRule="auto"/>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45</w:t>
            </w:r>
          </w:p>
        </w:tc>
        <w:tc>
          <w:tcPr>
            <w:tcW w:w="1955" w:type="dxa"/>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景德镇文旅职业技术学院项目</w:t>
            </w:r>
          </w:p>
        </w:tc>
        <w:tc>
          <w:tcPr>
            <w:tcW w:w="5686" w:type="dxa"/>
            <w:gridSpan w:val="2"/>
          </w:tcPr>
          <w:p>
            <w:pPr>
              <w:spacing w:line="300" w:lineRule="auto"/>
              <w:jc w:val="left"/>
              <w:rPr>
                <w:rFonts w:ascii="仿宋_GB2312" w:hAnsi="仿宋_GB2312" w:eastAsia="仿宋_GB2312" w:cs="仿宋_GB2312"/>
                <w:sz w:val="24"/>
              </w:rPr>
            </w:pPr>
            <w:r>
              <w:rPr>
                <w:rFonts w:hint="eastAsia" w:ascii="仿宋_GB2312" w:hAnsi="仿宋_GB2312" w:eastAsia="仿宋_GB2312" w:cs="仿宋_GB2312"/>
                <w:sz w:val="24"/>
              </w:rPr>
              <w:t>占地面积800亩(校区建设600亩，老师校工配套房用地200亩)，配置的教学设备满足20个专业，1万名学生的教学生活需求，以文旅产业、网络传播、互联网营销及运营、手工艺及传统美学设计、田园产业及茶文化、文化产权金融等专业为重点突破，培养服务于本地经济的专业人才。</w:t>
            </w:r>
          </w:p>
        </w:tc>
        <w:tc>
          <w:tcPr>
            <w:tcW w:w="1824"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寿安镇</w:t>
            </w:r>
          </w:p>
        </w:tc>
        <w:tc>
          <w:tcPr>
            <w:tcW w:w="1134"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38000</w:t>
            </w:r>
          </w:p>
        </w:tc>
        <w:tc>
          <w:tcPr>
            <w:tcW w:w="1276" w:type="dxa"/>
            <w:vAlign w:val="center"/>
          </w:tcPr>
          <w:p>
            <w:pPr>
              <w:spacing w:line="300" w:lineRule="auto"/>
              <w:jc w:val="center"/>
              <w:rPr>
                <w:rFonts w:ascii="仿宋_GB2312" w:hAnsi="仿宋_GB2312" w:eastAsia="仿宋_GB2312" w:cs="仿宋_GB2312"/>
                <w:sz w:val="24"/>
              </w:rPr>
            </w:pPr>
          </w:p>
        </w:tc>
        <w:tc>
          <w:tcPr>
            <w:tcW w:w="1416" w:type="dxa"/>
            <w:gridSpan w:val="2"/>
            <w:vAlign w:val="center"/>
          </w:tcPr>
          <w:p>
            <w:pPr>
              <w:spacing w:line="300" w:lineRule="auto"/>
              <w:jc w:val="center"/>
              <w:rPr>
                <w:rFonts w:ascii="仿宋_GB2312" w:hAnsi="仿宋_GB2312" w:eastAsia="仿宋_GB2312" w:cs="仿宋_GB2312"/>
                <w:sz w:val="24"/>
              </w:rPr>
            </w:pPr>
          </w:p>
        </w:tc>
        <w:tc>
          <w:tcPr>
            <w:tcW w:w="1195"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379" w:hRule="atLeast"/>
        </w:trPr>
        <w:tc>
          <w:tcPr>
            <w:tcW w:w="15273" w:type="dxa"/>
            <w:gridSpan w:val="13"/>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pacing w:val="4"/>
                <w:sz w:val="24"/>
              </w:rPr>
              <w:t>小计：总投</w:t>
            </w:r>
            <w:r>
              <w:rPr>
                <w:rFonts w:hint="eastAsia" w:ascii="仿宋_GB2312" w:hAnsi="仿宋_GB2312" w:eastAsia="仿宋_GB2312" w:cs="仿宋_GB2312"/>
                <w:spacing w:val="2"/>
                <w:sz w:val="24"/>
              </w:rPr>
              <w:t>资</w:t>
            </w:r>
            <w:r>
              <w:rPr>
                <w:rFonts w:hint="eastAsia" w:ascii="仿宋_GB2312" w:hAnsi="仿宋_GB2312" w:eastAsia="仿宋_GB2312" w:cs="仿宋_GB2312"/>
                <w:spacing w:val="2"/>
                <w:sz w:val="24"/>
                <w:lang w:val="en-US" w:eastAsia="zh-CN"/>
              </w:rPr>
              <w:t>69</w:t>
            </w:r>
            <w:r>
              <w:rPr>
                <w:rFonts w:hint="eastAsia" w:ascii="仿宋_GB2312" w:hAnsi="仿宋_GB2312" w:eastAsia="仿宋_GB2312" w:cs="仿宋_GB2312"/>
                <w:spacing w:val="2"/>
                <w:sz w:val="24"/>
              </w:rPr>
              <w:t>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809" w:hRule="atLeast"/>
        </w:trPr>
        <w:tc>
          <w:tcPr>
            <w:tcW w:w="787" w:type="dxa"/>
            <w:gridSpan w:val="2"/>
            <w:vAlign w:val="center"/>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955" w:type="dxa"/>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5686"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建设内容</w:t>
            </w:r>
          </w:p>
        </w:tc>
        <w:tc>
          <w:tcPr>
            <w:tcW w:w="1824"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建设单位</w:t>
            </w:r>
          </w:p>
        </w:tc>
        <w:tc>
          <w:tcPr>
            <w:tcW w:w="1134" w:type="dxa"/>
            <w:gridSpan w:val="2"/>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(万元)</w:t>
            </w:r>
          </w:p>
        </w:tc>
        <w:tc>
          <w:tcPr>
            <w:tcW w:w="1276" w:type="dxa"/>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开工时间</w:t>
            </w:r>
          </w:p>
        </w:tc>
        <w:tc>
          <w:tcPr>
            <w:tcW w:w="1416" w:type="dxa"/>
            <w:gridSpan w:val="2"/>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竣工时间</w:t>
            </w:r>
          </w:p>
        </w:tc>
        <w:tc>
          <w:tcPr>
            <w:tcW w:w="1195" w:type="dxa"/>
            <w:gridSpan w:val="2"/>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31" w:hRule="atLeast"/>
        </w:trPr>
        <w:tc>
          <w:tcPr>
            <w:tcW w:w="15273" w:type="dxa"/>
            <w:gridSpan w:val="13"/>
          </w:tcPr>
          <w:p>
            <w:pPr>
              <w:spacing w:before="224" w:line="237" w:lineRule="auto"/>
              <w:ind w:left="6447"/>
              <w:jc w:val="both"/>
              <w:rPr>
                <w:rFonts w:ascii="仿宋_GB2312" w:hAnsi="仿宋_GB2312" w:eastAsia="仿宋_GB2312" w:cs="仿宋_GB2312"/>
                <w:sz w:val="24"/>
              </w:rPr>
            </w:pPr>
            <w:r>
              <w:rPr>
                <w:rFonts w:hint="eastAsia" w:ascii="仿宋_GB2312" w:hAnsi="仿宋_GB2312" w:eastAsia="仿宋_GB2312" w:cs="仿宋_GB2312"/>
                <w:spacing w:val="14"/>
                <w:sz w:val="24"/>
              </w:rPr>
              <w:t>五</w:t>
            </w:r>
            <w:r>
              <w:rPr>
                <w:rFonts w:hint="eastAsia" w:ascii="仿宋_GB2312" w:hAnsi="仿宋_GB2312" w:eastAsia="仿宋_GB2312" w:cs="仿宋_GB2312"/>
                <w:spacing w:val="8"/>
                <w:sz w:val="24"/>
              </w:rPr>
              <w:t>、生态环境治理项目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183" w:hRule="atLeast"/>
        </w:trPr>
        <w:tc>
          <w:tcPr>
            <w:tcW w:w="787" w:type="dxa"/>
            <w:gridSpan w:val="2"/>
            <w:vAlign w:val="center"/>
          </w:tcPr>
          <w:p>
            <w:pPr>
              <w:spacing w:line="256" w:lineRule="auto"/>
              <w:jc w:val="center"/>
              <w:rPr>
                <w:rFonts w:ascii="仿宋_GB2312" w:hAnsi="仿宋_GB2312" w:eastAsia="仿宋_GB2312" w:cs="仿宋_GB2312"/>
                <w:sz w:val="24"/>
              </w:rPr>
            </w:pPr>
          </w:p>
          <w:p>
            <w:pPr>
              <w:spacing w:before="66" w:line="194" w:lineRule="auto"/>
              <w:ind w:left="282"/>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1"/>
                <w:sz w:val="24"/>
                <w:lang w:val="en-US" w:eastAsia="zh-CN"/>
              </w:rPr>
              <w:t>46</w:t>
            </w:r>
          </w:p>
        </w:tc>
        <w:tc>
          <w:tcPr>
            <w:tcW w:w="1955" w:type="dxa"/>
            <w:vAlign w:val="center"/>
          </w:tcPr>
          <w:p>
            <w:pPr>
              <w:spacing w:before="75" w:line="333" w:lineRule="auto"/>
              <w:jc w:val="center"/>
              <w:rPr>
                <w:rFonts w:ascii="仿宋_GB2312" w:hAnsi="仿宋_GB2312" w:eastAsia="仿宋_GB2312" w:cs="仿宋_GB2312"/>
                <w:sz w:val="24"/>
              </w:rPr>
            </w:pPr>
            <w:r>
              <w:rPr>
                <w:rFonts w:hint="eastAsia" w:ascii="仿宋_GB2312" w:hAnsi="仿宋_GB2312" w:eastAsia="仿宋_GB2312" w:cs="仿宋_GB2312"/>
                <w:spacing w:val="10"/>
                <w:sz w:val="24"/>
              </w:rPr>
              <w:t>浮</w:t>
            </w:r>
            <w:r>
              <w:rPr>
                <w:rFonts w:hint="eastAsia" w:ascii="仿宋_GB2312" w:hAnsi="仿宋_GB2312" w:eastAsia="仿宋_GB2312" w:cs="仿宋_GB2312"/>
                <w:spacing w:val="8"/>
                <w:sz w:val="24"/>
              </w:rPr>
              <w:t>梁县农业面源污染治理项目</w:t>
            </w:r>
          </w:p>
        </w:tc>
        <w:tc>
          <w:tcPr>
            <w:tcW w:w="5686" w:type="dxa"/>
            <w:gridSpan w:val="2"/>
          </w:tcPr>
          <w:p>
            <w:pPr>
              <w:tabs>
                <w:tab w:val="left" w:pos="240"/>
              </w:tabs>
              <w:spacing w:before="73" w:line="276" w:lineRule="auto"/>
              <w:ind w:left="107" w:right="105" w:firstLine="6"/>
              <w:jc w:val="left"/>
              <w:rPr>
                <w:rFonts w:ascii="仿宋_GB2312" w:hAnsi="仿宋_GB2312" w:eastAsia="仿宋_GB2312" w:cs="仿宋_GB2312"/>
                <w:sz w:val="24"/>
              </w:rPr>
            </w:pPr>
            <w:r>
              <w:rPr>
                <w:rFonts w:hint="eastAsia" w:ascii="仿宋_GB2312" w:hAnsi="仿宋_GB2312" w:eastAsia="仿宋_GB2312" w:cs="仿宋_GB2312"/>
                <w:spacing w:val="5"/>
                <w:sz w:val="24"/>
              </w:rPr>
              <w:t>包括畜禽养殖治理工程(建设雨污分离管沟0.16</w:t>
            </w:r>
            <w:r>
              <w:rPr>
                <w:rFonts w:hint="eastAsia" w:ascii="仿宋_GB2312" w:hAnsi="仿宋_GB2312" w:eastAsia="仿宋_GB2312" w:cs="仿宋_GB2312"/>
                <w:spacing w:val="1"/>
                <w:sz w:val="24"/>
              </w:rPr>
              <w:t>万</w:t>
            </w:r>
            <w:r>
              <w:rPr>
                <w:rFonts w:hint="eastAsia" w:ascii="仿宋_GB2312" w:hAnsi="仿宋_GB2312" w:eastAsia="仿宋_GB2312" w:cs="仿宋_GB2312"/>
                <w:sz w:val="24"/>
              </w:rPr>
              <w:t>m</w:t>
            </w:r>
            <w:r>
              <w:rPr>
                <w:rFonts w:hint="eastAsia" w:ascii="仿宋_GB2312" w:hAnsi="仿宋_GB2312" w:eastAsia="仿宋_GB2312" w:cs="仿宋_GB2312"/>
                <w:spacing w:val="8"/>
                <w:sz w:val="24"/>
              </w:rPr>
              <w:t>，</w:t>
            </w:r>
            <w:r>
              <w:rPr>
                <w:rFonts w:hint="eastAsia" w:ascii="仿宋_GB2312" w:hAnsi="仿宋_GB2312" w:eastAsia="仿宋_GB2312" w:cs="仿宋_GB2312"/>
                <w:spacing w:val="5"/>
                <w:sz w:val="24"/>
              </w:rPr>
              <w:t>漏粪地板0.35万㎡)，农田面源污染防治工程</w:t>
            </w:r>
            <w:r>
              <w:rPr>
                <w:rFonts w:hint="eastAsia" w:ascii="仿宋_GB2312" w:hAnsi="仿宋_GB2312" w:eastAsia="仿宋_GB2312" w:cs="仿宋_GB2312"/>
                <w:sz w:val="24"/>
              </w:rPr>
              <w:tab/>
            </w:r>
            <w:r>
              <w:rPr>
                <w:rFonts w:hint="eastAsia" w:ascii="仿宋_GB2312" w:hAnsi="仿宋_GB2312" w:eastAsia="仿宋_GB2312" w:cs="仿宋_GB2312"/>
                <w:sz w:val="24"/>
              </w:rPr>
              <w:t>(建设生态沟渠0.52万m，生态塘0.95万㎡)，</w:t>
            </w:r>
            <w:r>
              <w:rPr>
                <w:rFonts w:hint="eastAsia" w:ascii="仿宋_GB2312" w:hAnsi="仿宋_GB2312" w:eastAsia="仿宋_GB2312" w:cs="仿宋_GB2312"/>
                <w:spacing w:val="20"/>
                <w:sz w:val="24"/>
              </w:rPr>
              <w:t>茶</w:t>
            </w:r>
            <w:r>
              <w:rPr>
                <w:rFonts w:hint="eastAsia" w:ascii="仿宋_GB2312" w:hAnsi="仿宋_GB2312" w:eastAsia="仿宋_GB2312" w:cs="仿宋_GB2312"/>
                <w:spacing w:val="18"/>
                <w:sz w:val="24"/>
              </w:rPr>
              <w:t>园</w:t>
            </w:r>
            <w:r>
              <w:rPr>
                <w:rFonts w:hint="eastAsia" w:ascii="仿宋_GB2312" w:hAnsi="仿宋_GB2312" w:eastAsia="仿宋_GB2312" w:cs="仿宋_GB2312"/>
                <w:spacing w:val="10"/>
                <w:sz w:val="24"/>
              </w:rPr>
              <w:t>面源污染防治工程(建设茶园农业化学品包装</w:t>
            </w:r>
            <w:r>
              <w:rPr>
                <w:rFonts w:hint="eastAsia" w:ascii="仿宋_GB2312" w:hAnsi="仿宋_GB2312" w:eastAsia="仿宋_GB2312" w:cs="仿宋_GB2312"/>
                <w:spacing w:val="-2"/>
                <w:sz w:val="24"/>
              </w:rPr>
              <w:t>物田间收集箱8</w:t>
            </w:r>
            <w:r>
              <w:rPr>
                <w:rFonts w:hint="eastAsia" w:ascii="仿宋_GB2312" w:hAnsi="仿宋_GB2312" w:eastAsia="仿宋_GB2312" w:cs="仿宋_GB2312"/>
                <w:spacing w:val="-1"/>
                <w:sz w:val="24"/>
              </w:rPr>
              <w:t>0套)。</w:t>
            </w:r>
          </w:p>
        </w:tc>
        <w:tc>
          <w:tcPr>
            <w:tcW w:w="1824" w:type="dxa"/>
            <w:vAlign w:val="center"/>
          </w:tcPr>
          <w:p>
            <w:pPr>
              <w:spacing w:before="75" w:line="334" w:lineRule="auto"/>
              <w:jc w:val="center"/>
              <w:rPr>
                <w:rFonts w:ascii="仿宋_GB2312" w:hAnsi="仿宋_GB2312" w:eastAsia="仿宋_GB2312" w:cs="仿宋_GB2312"/>
                <w:sz w:val="24"/>
              </w:rPr>
            </w:pPr>
            <w:r>
              <w:rPr>
                <w:rFonts w:hint="eastAsia" w:ascii="仿宋_GB2312" w:hAnsi="仿宋_GB2312" w:eastAsia="仿宋_GB2312" w:cs="仿宋_GB2312"/>
                <w:spacing w:val="9"/>
                <w:sz w:val="24"/>
              </w:rPr>
              <w:t>县</w:t>
            </w:r>
            <w:r>
              <w:rPr>
                <w:rFonts w:hint="eastAsia" w:ascii="仿宋_GB2312" w:hAnsi="仿宋_GB2312" w:eastAsia="仿宋_GB2312" w:cs="仿宋_GB2312"/>
                <w:spacing w:val="8"/>
                <w:sz w:val="24"/>
              </w:rPr>
              <w:t>农业农村局</w:t>
            </w:r>
            <w:r>
              <w:rPr>
                <w:rFonts w:hint="eastAsia" w:ascii="仿宋_GB2312" w:hAnsi="仿宋_GB2312" w:eastAsia="仿宋_GB2312" w:cs="仿宋_GB2312"/>
                <w:spacing w:val="9"/>
                <w:sz w:val="24"/>
              </w:rPr>
              <w:t>各</w:t>
            </w:r>
            <w:r>
              <w:rPr>
                <w:rFonts w:hint="eastAsia" w:ascii="仿宋_GB2312" w:hAnsi="仿宋_GB2312" w:eastAsia="仿宋_GB2312" w:cs="仿宋_GB2312"/>
                <w:spacing w:val="7"/>
                <w:sz w:val="24"/>
              </w:rPr>
              <w:t>相关乡镇</w:t>
            </w:r>
          </w:p>
        </w:tc>
        <w:tc>
          <w:tcPr>
            <w:tcW w:w="1134" w:type="dxa"/>
            <w:gridSpan w:val="2"/>
            <w:vAlign w:val="center"/>
          </w:tcPr>
          <w:p>
            <w:pPr>
              <w:spacing w:before="66" w:line="194" w:lineRule="auto"/>
              <w:jc w:val="center"/>
              <w:rPr>
                <w:rFonts w:hint="eastAsia" w:ascii="仿宋_GB2312" w:hAnsi="仿宋_GB2312" w:eastAsia="仿宋_GB2312" w:cs="仿宋_GB2312"/>
                <w:spacing w:val="1"/>
                <w:sz w:val="24"/>
              </w:rPr>
            </w:pPr>
          </w:p>
          <w:p>
            <w:pPr>
              <w:spacing w:before="66" w:line="194" w:lineRule="auto"/>
              <w:jc w:val="center"/>
              <w:rPr>
                <w:rFonts w:ascii="仿宋_GB2312" w:hAnsi="仿宋_GB2312" w:eastAsia="仿宋_GB2312" w:cs="仿宋_GB2312"/>
                <w:sz w:val="24"/>
              </w:rPr>
            </w:pPr>
            <w:r>
              <w:rPr>
                <w:rFonts w:hint="eastAsia" w:ascii="仿宋_GB2312" w:hAnsi="仿宋_GB2312" w:eastAsia="仿宋_GB2312" w:cs="仿宋_GB2312"/>
                <w:spacing w:val="1"/>
                <w:sz w:val="24"/>
              </w:rPr>
              <w:t>6000</w:t>
            </w:r>
          </w:p>
        </w:tc>
        <w:tc>
          <w:tcPr>
            <w:tcW w:w="1276" w:type="dxa"/>
            <w:vAlign w:val="center"/>
          </w:tcPr>
          <w:p>
            <w:pPr>
              <w:spacing w:line="277" w:lineRule="auto"/>
              <w:jc w:val="center"/>
              <w:rPr>
                <w:rFonts w:ascii="仿宋_GB2312" w:hAnsi="仿宋_GB2312" w:eastAsia="仿宋_GB2312" w:cs="仿宋_GB2312"/>
                <w:sz w:val="24"/>
              </w:rPr>
            </w:pPr>
          </w:p>
          <w:p>
            <w:pPr>
              <w:spacing w:before="66" w:line="195" w:lineRule="auto"/>
              <w:jc w:val="center"/>
              <w:rPr>
                <w:rFonts w:ascii="仿宋_GB2312" w:hAnsi="仿宋_GB2312" w:eastAsia="仿宋_GB2312" w:cs="仿宋_GB2312"/>
                <w:sz w:val="24"/>
              </w:rPr>
            </w:pPr>
            <w:r>
              <w:rPr>
                <w:rFonts w:hint="eastAsia" w:ascii="仿宋_GB2312" w:hAnsi="仿宋_GB2312" w:eastAsia="仿宋_GB2312" w:cs="仿宋_GB2312"/>
                <w:spacing w:val="4"/>
                <w:sz w:val="24"/>
              </w:rPr>
              <w:t>2022.0</w:t>
            </w:r>
            <w:r>
              <w:rPr>
                <w:rFonts w:hint="eastAsia" w:ascii="仿宋_GB2312" w:hAnsi="仿宋_GB2312" w:eastAsia="仿宋_GB2312" w:cs="仿宋_GB2312"/>
                <w:spacing w:val="3"/>
                <w:sz w:val="24"/>
              </w:rPr>
              <w:t>3</w:t>
            </w:r>
          </w:p>
        </w:tc>
        <w:tc>
          <w:tcPr>
            <w:tcW w:w="1416" w:type="dxa"/>
            <w:gridSpan w:val="2"/>
            <w:vAlign w:val="center"/>
          </w:tcPr>
          <w:p>
            <w:pPr>
              <w:spacing w:line="277" w:lineRule="auto"/>
              <w:jc w:val="center"/>
              <w:rPr>
                <w:rFonts w:ascii="仿宋_GB2312" w:hAnsi="仿宋_GB2312" w:eastAsia="仿宋_GB2312" w:cs="仿宋_GB2312"/>
                <w:sz w:val="24"/>
              </w:rPr>
            </w:pPr>
          </w:p>
          <w:p>
            <w:pPr>
              <w:spacing w:before="66" w:line="195" w:lineRule="auto"/>
              <w:jc w:val="center"/>
              <w:rPr>
                <w:rFonts w:ascii="仿宋_GB2312" w:hAnsi="仿宋_GB2312" w:eastAsia="仿宋_GB2312" w:cs="仿宋_GB2312"/>
                <w:sz w:val="24"/>
              </w:rPr>
            </w:pPr>
            <w:r>
              <w:rPr>
                <w:rFonts w:hint="eastAsia" w:ascii="仿宋_GB2312" w:hAnsi="仿宋_GB2312" w:eastAsia="仿宋_GB2312" w:cs="仿宋_GB2312"/>
                <w:spacing w:val="-6"/>
                <w:sz w:val="24"/>
              </w:rPr>
              <w:t>20</w:t>
            </w:r>
            <w:r>
              <w:rPr>
                <w:rFonts w:hint="eastAsia" w:ascii="仿宋_GB2312" w:hAnsi="仿宋_GB2312" w:eastAsia="仿宋_GB2312" w:cs="仿宋_GB2312"/>
                <w:spacing w:val="-4"/>
                <w:sz w:val="24"/>
              </w:rPr>
              <w:t>2</w:t>
            </w:r>
            <w:r>
              <w:rPr>
                <w:rFonts w:hint="eastAsia" w:ascii="仿宋_GB2312" w:hAnsi="仿宋_GB2312" w:eastAsia="仿宋_GB2312" w:cs="仿宋_GB2312"/>
                <w:spacing w:val="-3"/>
                <w:sz w:val="24"/>
              </w:rPr>
              <w:t>3.12</w:t>
            </w:r>
          </w:p>
        </w:tc>
        <w:tc>
          <w:tcPr>
            <w:tcW w:w="1195" w:type="dxa"/>
            <w:gridSpan w:val="2"/>
            <w:vAlign w:val="center"/>
          </w:tcPr>
          <w:p>
            <w:pPr>
              <w:spacing w:line="262" w:lineRule="auto"/>
              <w:jc w:val="center"/>
              <w:rPr>
                <w:rFonts w:ascii="仿宋_GB2312" w:hAnsi="仿宋_GB2312" w:eastAsia="仿宋_GB2312" w:cs="仿宋_GB2312"/>
                <w:sz w:val="24"/>
              </w:rPr>
            </w:pPr>
          </w:p>
          <w:p>
            <w:pPr>
              <w:spacing w:before="75" w:line="228" w:lineRule="auto"/>
              <w:jc w:val="center"/>
              <w:rPr>
                <w:rFonts w:ascii="仿宋_GB2312" w:hAnsi="仿宋_GB2312" w:eastAsia="仿宋_GB2312" w:cs="仿宋_GB2312"/>
                <w:sz w:val="24"/>
              </w:rPr>
            </w:pPr>
            <w:r>
              <w:rPr>
                <w:rFonts w:hint="eastAsia" w:ascii="仿宋_GB2312" w:hAnsi="仿宋_GB2312" w:eastAsia="仿宋_GB2312" w:cs="仿宋_GB2312"/>
                <w:spacing w:val="5"/>
                <w:sz w:val="24"/>
              </w:rPr>
              <w:t>新</w:t>
            </w:r>
            <w:r>
              <w:rPr>
                <w:rFonts w:hint="eastAsia" w:ascii="仿宋_GB2312" w:hAnsi="仿宋_GB2312" w:eastAsia="仿宋_GB2312" w:cs="仿宋_GB2312"/>
                <w:spacing w:val="4"/>
                <w:sz w:val="24"/>
              </w:rPr>
              <w:t>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231" w:hRule="atLeast"/>
        </w:trPr>
        <w:tc>
          <w:tcPr>
            <w:tcW w:w="787" w:type="dxa"/>
            <w:gridSpan w:val="2"/>
            <w:vAlign w:val="center"/>
          </w:tcPr>
          <w:p>
            <w:pPr>
              <w:spacing w:line="365" w:lineRule="auto"/>
              <w:jc w:val="center"/>
              <w:rPr>
                <w:rFonts w:ascii="仿宋_GB2312" w:hAnsi="仿宋_GB2312" w:eastAsia="仿宋_GB2312" w:cs="仿宋_GB2312"/>
                <w:sz w:val="24"/>
              </w:rPr>
            </w:pPr>
          </w:p>
          <w:p>
            <w:pPr>
              <w:spacing w:before="66" w:line="195" w:lineRule="auto"/>
              <w:ind w:left="282"/>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1"/>
                <w:sz w:val="24"/>
                <w:lang w:val="en-US" w:eastAsia="zh-CN"/>
              </w:rPr>
              <w:t>47</w:t>
            </w:r>
          </w:p>
        </w:tc>
        <w:tc>
          <w:tcPr>
            <w:tcW w:w="1955" w:type="dxa"/>
            <w:vAlign w:val="center"/>
          </w:tcPr>
          <w:p>
            <w:pPr>
              <w:spacing w:before="192" w:line="274" w:lineRule="auto"/>
              <w:jc w:val="center"/>
              <w:rPr>
                <w:rFonts w:ascii="仿宋_GB2312" w:hAnsi="仿宋_GB2312" w:eastAsia="仿宋_GB2312" w:cs="仿宋_GB2312"/>
                <w:sz w:val="24"/>
              </w:rPr>
            </w:pPr>
            <w:r>
              <w:rPr>
                <w:rFonts w:hint="eastAsia" w:ascii="仿宋_GB2312" w:hAnsi="仿宋_GB2312" w:eastAsia="仿宋_GB2312" w:cs="仿宋_GB2312"/>
                <w:spacing w:val="9"/>
                <w:sz w:val="24"/>
              </w:rPr>
              <w:t>山</w:t>
            </w:r>
            <w:r>
              <w:rPr>
                <w:rFonts w:hint="eastAsia" w:ascii="仿宋_GB2312" w:hAnsi="仿宋_GB2312" w:eastAsia="仿宋_GB2312" w:cs="仿宋_GB2312"/>
                <w:spacing w:val="5"/>
                <w:sz w:val="24"/>
              </w:rPr>
              <w:t>水林田湖草生</w:t>
            </w:r>
            <w:r>
              <w:rPr>
                <w:rFonts w:hint="eastAsia" w:ascii="仿宋_GB2312" w:hAnsi="仿宋_GB2312" w:eastAsia="仿宋_GB2312" w:cs="仿宋_GB2312"/>
                <w:spacing w:val="12"/>
                <w:sz w:val="24"/>
              </w:rPr>
              <w:t>态</w:t>
            </w:r>
            <w:r>
              <w:rPr>
                <w:rFonts w:hint="eastAsia" w:ascii="仿宋_GB2312" w:hAnsi="仿宋_GB2312" w:eastAsia="仿宋_GB2312" w:cs="仿宋_GB2312"/>
                <w:spacing w:val="8"/>
                <w:sz w:val="24"/>
              </w:rPr>
              <w:t>保护修复项目</w:t>
            </w:r>
          </w:p>
        </w:tc>
        <w:tc>
          <w:tcPr>
            <w:tcW w:w="5686" w:type="dxa"/>
            <w:gridSpan w:val="2"/>
          </w:tcPr>
          <w:p>
            <w:pPr>
              <w:spacing w:before="196" w:line="276" w:lineRule="auto"/>
              <w:ind w:left="119" w:right="108" w:hanging="6"/>
              <w:jc w:val="left"/>
              <w:rPr>
                <w:rFonts w:ascii="仿宋_GB2312" w:hAnsi="仿宋_GB2312" w:eastAsia="仿宋_GB2312" w:cs="仿宋_GB2312"/>
                <w:sz w:val="24"/>
              </w:rPr>
            </w:pPr>
            <w:r>
              <w:rPr>
                <w:rFonts w:hint="eastAsia" w:ascii="仿宋_GB2312" w:hAnsi="仿宋_GB2312" w:eastAsia="仿宋_GB2312" w:cs="仿宋_GB2312"/>
                <w:spacing w:val="11"/>
                <w:sz w:val="24"/>
              </w:rPr>
              <w:t>对新平先行区范围内生态脆弱、薄弱、退化的区域</w:t>
            </w:r>
            <w:r>
              <w:rPr>
                <w:rFonts w:hint="eastAsia" w:ascii="仿宋_GB2312" w:hAnsi="仿宋_GB2312" w:eastAsia="仿宋_GB2312" w:cs="仿宋_GB2312"/>
                <w:spacing w:val="8"/>
                <w:sz w:val="24"/>
              </w:rPr>
              <w:t>实</w:t>
            </w:r>
            <w:r>
              <w:rPr>
                <w:rFonts w:hint="eastAsia" w:ascii="仿宋_GB2312" w:hAnsi="仿宋_GB2312" w:eastAsia="仿宋_GB2312" w:cs="仿宋_GB2312"/>
                <w:spacing w:val="7"/>
                <w:sz w:val="24"/>
              </w:rPr>
              <w:t>施保护修复工程。</w:t>
            </w:r>
          </w:p>
        </w:tc>
        <w:tc>
          <w:tcPr>
            <w:tcW w:w="1824" w:type="dxa"/>
            <w:vAlign w:val="center"/>
          </w:tcPr>
          <w:p>
            <w:pPr>
              <w:spacing w:before="156" w:line="320" w:lineRule="auto"/>
              <w:jc w:val="center"/>
              <w:rPr>
                <w:rFonts w:ascii="仿宋_GB2312" w:hAnsi="仿宋_GB2312" w:eastAsia="仿宋_GB2312" w:cs="仿宋_GB2312"/>
                <w:sz w:val="24"/>
              </w:rPr>
            </w:pPr>
            <w:r>
              <w:rPr>
                <w:rFonts w:hint="eastAsia" w:ascii="仿宋_GB2312" w:hAnsi="仿宋_GB2312" w:eastAsia="仿宋_GB2312" w:cs="仿宋_GB2312"/>
                <w:spacing w:val="11"/>
                <w:sz w:val="24"/>
              </w:rPr>
              <w:t>新</w:t>
            </w:r>
            <w:r>
              <w:rPr>
                <w:rFonts w:hint="eastAsia" w:ascii="仿宋_GB2312" w:hAnsi="仿宋_GB2312" w:eastAsia="仿宋_GB2312" w:cs="仿宋_GB2312"/>
                <w:spacing w:val="8"/>
                <w:sz w:val="24"/>
              </w:rPr>
              <w:t>平先行区管委</w:t>
            </w:r>
            <w:r>
              <w:rPr>
                <w:rFonts w:hint="eastAsia" w:ascii="仿宋_GB2312" w:hAnsi="仿宋_GB2312" w:eastAsia="仿宋_GB2312" w:cs="仿宋_GB2312"/>
                <w:spacing w:val="1"/>
                <w:sz w:val="24"/>
              </w:rPr>
              <w:t>会</w:t>
            </w:r>
          </w:p>
        </w:tc>
        <w:tc>
          <w:tcPr>
            <w:tcW w:w="1134" w:type="dxa"/>
            <w:gridSpan w:val="2"/>
            <w:vAlign w:val="center"/>
          </w:tcPr>
          <w:p>
            <w:pPr>
              <w:spacing w:before="66" w:line="194" w:lineRule="auto"/>
              <w:jc w:val="center"/>
              <w:rPr>
                <w:rFonts w:ascii="仿宋_GB2312" w:hAnsi="仿宋_GB2312" w:eastAsia="仿宋_GB2312" w:cs="仿宋_GB2312"/>
                <w:sz w:val="24"/>
              </w:rPr>
            </w:pPr>
            <w:r>
              <w:rPr>
                <w:rFonts w:hint="eastAsia" w:ascii="仿宋_GB2312" w:hAnsi="仿宋_GB2312" w:eastAsia="仿宋_GB2312" w:cs="仿宋_GB2312"/>
                <w:spacing w:val="1"/>
                <w:sz w:val="24"/>
              </w:rPr>
              <w:t>1</w:t>
            </w:r>
            <w:r>
              <w:rPr>
                <w:rFonts w:hint="eastAsia" w:ascii="仿宋_GB2312" w:hAnsi="仿宋_GB2312" w:eastAsia="仿宋_GB2312" w:cs="仿宋_GB2312"/>
                <w:sz w:val="24"/>
              </w:rPr>
              <w:t>50000</w:t>
            </w:r>
          </w:p>
        </w:tc>
        <w:tc>
          <w:tcPr>
            <w:tcW w:w="1276" w:type="dxa"/>
            <w:vAlign w:val="center"/>
          </w:tcPr>
          <w:p>
            <w:pPr>
              <w:jc w:val="center"/>
              <w:rPr>
                <w:rFonts w:ascii="仿宋_GB2312" w:hAnsi="仿宋_GB2312" w:eastAsia="仿宋_GB2312" w:cs="仿宋_GB2312"/>
                <w:sz w:val="24"/>
              </w:rPr>
            </w:pPr>
          </w:p>
        </w:tc>
        <w:tc>
          <w:tcPr>
            <w:tcW w:w="1416" w:type="dxa"/>
            <w:gridSpan w:val="2"/>
            <w:vAlign w:val="center"/>
          </w:tcPr>
          <w:p>
            <w:pPr>
              <w:jc w:val="center"/>
              <w:rPr>
                <w:rFonts w:ascii="仿宋_GB2312" w:hAnsi="仿宋_GB2312" w:eastAsia="仿宋_GB2312" w:cs="仿宋_GB2312"/>
                <w:sz w:val="24"/>
              </w:rPr>
            </w:pPr>
          </w:p>
        </w:tc>
        <w:tc>
          <w:tcPr>
            <w:tcW w:w="1195" w:type="dxa"/>
            <w:gridSpan w:val="2"/>
            <w:vAlign w:val="center"/>
          </w:tcPr>
          <w:p>
            <w:pPr>
              <w:spacing w:before="74" w:line="228" w:lineRule="auto"/>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2492" w:hRule="atLeast"/>
        </w:trPr>
        <w:tc>
          <w:tcPr>
            <w:tcW w:w="787" w:type="dxa"/>
            <w:gridSpan w:val="2"/>
          </w:tcPr>
          <w:p>
            <w:pPr>
              <w:spacing w:line="257" w:lineRule="auto"/>
              <w:jc w:val="center"/>
              <w:rPr>
                <w:rFonts w:ascii="仿宋_GB2312" w:hAnsi="仿宋_GB2312" w:eastAsia="仿宋_GB2312" w:cs="仿宋_GB2312"/>
                <w:sz w:val="24"/>
              </w:rPr>
            </w:pPr>
          </w:p>
          <w:p>
            <w:pPr>
              <w:spacing w:line="257" w:lineRule="auto"/>
              <w:jc w:val="center"/>
              <w:rPr>
                <w:rFonts w:ascii="仿宋_GB2312" w:hAnsi="仿宋_GB2312" w:eastAsia="仿宋_GB2312" w:cs="仿宋_GB2312"/>
                <w:sz w:val="24"/>
              </w:rPr>
            </w:pPr>
          </w:p>
          <w:p>
            <w:pPr>
              <w:pStyle w:val="7"/>
              <w:jc w:val="center"/>
              <w:rPr>
                <w:rFonts w:hint="default"/>
              </w:rPr>
            </w:pPr>
          </w:p>
          <w:p>
            <w:pPr>
              <w:spacing w:before="66" w:line="194" w:lineRule="auto"/>
              <w:ind w:left="281"/>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1"/>
                <w:sz w:val="24"/>
                <w:lang w:val="en-US" w:eastAsia="zh-CN"/>
              </w:rPr>
              <w:t>48</w:t>
            </w:r>
          </w:p>
        </w:tc>
        <w:tc>
          <w:tcPr>
            <w:tcW w:w="1955" w:type="dxa"/>
            <w:vAlign w:val="center"/>
          </w:tcPr>
          <w:p>
            <w:pPr>
              <w:spacing w:before="75" w:line="321" w:lineRule="auto"/>
              <w:jc w:val="center"/>
              <w:rPr>
                <w:rFonts w:ascii="仿宋_GB2312" w:hAnsi="仿宋_GB2312" w:eastAsia="仿宋_GB2312" w:cs="仿宋_GB2312"/>
                <w:sz w:val="24"/>
              </w:rPr>
            </w:pPr>
            <w:r>
              <w:rPr>
                <w:rFonts w:hint="eastAsia" w:ascii="仿宋_GB2312" w:hAnsi="仿宋_GB2312" w:eastAsia="仿宋_GB2312" w:cs="仿宋_GB2312"/>
                <w:spacing w:val="10"/>
                <w:sz w:val="24"/>
              </w:rPr>
              <w:t>浮</w:t>
            </w:r>
            <w:r>
              <w:rPr>
                <w:rFonts w:hint="eastAsia" w:ascii="仿宋_GB2312" w:hAnsi="仿宋_GB2312" w:eastAsia="仿宋_GB2312" w:cs="仿宋_GB2312"/>
                <w:spacing w:val="8"/>
                <w:sz w:val="24"/>
              </w:rPr>
              <w:t>梁县生态保护</w:t>
            </w:r>
            <w:r>
              <w:rPr>
                <w:rFonts w:hint="eastAsia" w:ascii="仿宋_GB2312" w:hAnsi="仿宋_GB2312" w:eastAsia="仿宋_GB2312" w:cs="仿宋_GB2312"/>
                <w:spacing w:val="9"/>
                <w:sz w:val="24"/>
              </w:rPr>
              <w:t>及古村落环境</w:t>
            </w:r>
            <w:r>
              <w:rPr>
                <w:rFonts w:hint="eastAsia" w:ascii="仿宋_GB2312" w:hAnsi="仿宋_GB2312" w:eastAsia="仿宋_GB2312" w:cs="仿宋_GB2312"/>
                <w:spacing w:val="7"/>
                <w:sz w:val="24"/>
              </w:rPr>
              <w:t>改</w:t>
            </w:r>
            <w:r>
              <w:rPr>
                <w:rFonts w:hint="eastAsia" w:ascii="仿宋_GB2312" w:hAnsi="仿宋_GB2312" w:eastAsia="仿宋_GB2312" w:cs="仿宋_GB2312"/>
                <w:spacing w:val="12"/>
                <w:sz w:val="24"/>
              </w:rPr>
              <w:t>造</w:t>
            </w:r>
            <w:r>
              <w:rPr>
                <w:rFonts w:hint="eastAsia" w:ascii="仿宋_GB2312" w:hAnsi="仿宋_GB2312" w:eastAsia="仿宋_GB2312" w:cs="仿宋_GB2312"/>
                <w:spacing w:val="7"/>
                <w:sz w:val="24"/>
              </w:rPr>
              <w:t>项目(法开署</w:t>
            </w:r>
          </w:p>
          <w:p>
            <w:pPr>
              <w:spacing w:line="227" w:lineRule="auto"/>
              <w:jc w:val="center"/>
              <w:rPr>
                <w:rFonts w:ascii="仿宋_GB2312" w:hAnsi="仿宋_GB2312" w:eastAsia="仿宋_GB2312" w:cs="仿宋_GB2312"/>
                <w:sz w:val="24"/>
              </w:rPr>
            </w:pPr>
            <w:r>
              <w:rPr>
                <w:rFonts w:hint="eastAsia" w:ascii="仿宋_GB2312" w:hAnsi="仿宋_GB2312" w:eastAsia="仿宋_GB2312" w:cs="仿宋_GB2312"/>
                <w:spacing w:val="9"/>
                <w:sz w:val="24"/>
              </w:rPr>
              <w:t>贷</w:t>
            </w:r>
            <w:r>
              <w:rPr>
                <w:rFonts w:hint="eastAsia" w:ascii="仿宋_GB2312" w:hAnsi="仿宋_GB2312" w:eastAsia="仿宋_GB2312" w:cs="仿宋_GB2312"/>
                <w:spacing w:val="6"/>
                <w:sz w:val="24"/>
              </w:rPr>
              <w:t>款项目)</w:t>
            </w:r>
          </w:p>
        </w:tc>
        <w:tc>
          <w:tcPr>
            <w:tcW w:w="5686" w:type="dxa"/>
            <w:gridSpan w:val="2"/>
          </w:tcPr>
          <w:p>
            <w:pPr>
              <w:spacing w:before="75" w:line="276" w:lineRule="auto"/>
              <w:ind w:left="113" w:right="45" w:firstLine="6"/>
              <w:jc w:val="left"/>
              <w:rPr>
                <w:rFonts w:ascii="仿宋_GB2312" w:hAnsi="仿宋_GB2312" w:eastAsia="仿宋_GB2312" w:cs="仿宋_GB2312"/>
                <w:sz w:val="24"/>
              </w:rPr>
            </w:pPr>
            <w:r>
              <w:rPr>
                <w:rFonts w:hint="eastAsia" w:ascii="仿宋_GB2312" w:hAnsi="仿宋_GB2312" w:eastAsia="仿宋_GB2312" w:cs="仿宋_GB2312"/>
                <w:spacing w:val="11"/>
                <w:sz w:val="24"/>
              </w:rPr>
              <w:t>项目内容包括三部分：一是自然文化遗产保护，</w:t>
            </w:r>
            <w:r>
              <w:rPr>
                <w:rFonts w:hint="eastAsia" w:ascii="仿宋_GB2312" w:hAnsi="仿宋_GB2312" w:eastAsia="仿宋_GB2312" w:cs="仿宋_GB2312"/>
                <w:spacing w:val="6"/>
                <w:sz w:val="24"/>
              </w:rPr>
              <w:t>主</w:t>
            </w:r>
            <w:r>
              <w:rPr>
                <w:rFonts w:hint="eastAsia" w:ascii="仿宋_GB2312" w:hAnsi="仿宋_GB2312" w:eastAsia="仿宋_GB2312" w:cs="仿宋_GB2312"/>
                <w:spacing w:val="11"/>
                <w:sz w:val="24"/>
              </w:rPr>
              <w:t>要包括对古村落的历史文化建筑、茶马古道、古</w:t>
            </w:r>
            <w:r>
              <w:rPr>
                <w:rFonts w:hint="eastAsia" w:ascii="仿宋_GB2312" w:hAnsi="仿宋_GB2312" w:eastAsia="仿宋_GB2312" w:cs="仿宋_GB2312"/>
                <w:spacing w:val="10"/>
                <w:sz w:val="24"/>
              </w:rPr>
              <w:t>码</w:t>
            </w:r>
            <w:r>
              <w:rPr>
                <w:rFonts w:hint="eastAsia" w:ascii="仿宋_GB2312" w:hAnsi="仿宋_GB2312" w:eastAsia="仿宋_GB2312" w:cs="仿宋_GB2312"/>
                <w:spacing w:val="12"/>
                <w:sz w:val="24"/>
              </w:rPr>
              <w:t>头、老街路面进行改造修复；二是生态系统修复</w:t>
            </w:r>
            <w:r>
              <w:rPr>
                <w:rFonts w:hint="eastAsia" w:ascii="仿宋_GB2312" w:hAnsi="仿宋_GB2312" w:eastAsia="仿宋_GB2312" w:cs="仿宋_GB2312"/>
                <w:spacing w:val="8"/>
                <w:sz w:val="24"/>
              </w:rPr>
              <w:t>，</w:t>
            </w:r>
            <w:r>
              <w:rPr>
                <w:rFonts w:hint="eastAsia" w:ascii="仿宋_GB2312" w:hAnsi="仿宋_GB2312" w:eastAsia="仿宋_GB2312" w:cs="仿宋_GB2312"/>
                <w:spacing w:val="4"/>
                <w:sz w:val="24"/>
              </w:rPr>
              <w:t>主</w:t>
            </w:r>
            <w:r>
              <w:rPr>
                <w:rFonts w:hint="eastAsia" w:ascii="仿宋_GB2312" w:hAnsi="仿宋_GB2312" w:eastAsia="仿宋_GB2312" w:cs="仿宋_GB2312"/>
                <w:spacing w:val="3"/>
                <w:sz w:val="24"/>
              </w:rPr>
              <w:t>要包括为古村落绿化建设改造、“古树群”保护；</w:t>
            </w:r>
            <w:r>
              <w:rPr>
                <w:rFonts w:hint="eastAsia" w:ascii="仿宋_GB2312" w:hAnsi="仿宋_GB2312" w:eastAsia="仿宋_GB2312" w:cs="仿宋_GB2312"/>
                <w:spacing w:val="11"/>
                <w:sz w:val="24"/>
              </w:rPr>
              <w:t>三是区域环境治理，主要包括排水管网改造工程</w:t>
            </w:r>
            <w:r>
              <w:rPr>
                <w:rFonts w:hint="eastAsia" w:ascii="仿宋_GB2312" w:hAnsi="仿宋_GB2312" w:eastAsia="仿宋_GB2312" w:cs="仿宋_GB2312"/>
                <w:spacing w:val="10"/>
                <w:sz w:val="24"/>
              </w:rPr>
              <w:t>和</w:t>
            </w:r>
            <w:r>
              <w:rPr>
                <w:rFonts w:hint="eastAsia" w:ascii="仿宋_GB2312" w:hAnsi="仿宋_GB2312" w:eastAsia="仿宋_GB2312" w:cs="仿宋_GB2312"/>
                <w:spacing w:val="8"/>
                <w:sz w:val="24"/>
              </w:rPr>
              <w:t>垃圾收集处理工程</w:t>
            </w:r>
            <w:r>
              <w:rPr>
                <w:rFonts w:hint="eastAsia" w:ascii="仿宋_GB2312" w:hAnsi="仿宋_GB2312" w:eastAsia="仿宋_GB2312" w:cs="仿宋_GB2312"/>
                <w:spacing w:val="6"/>
                <w:sz w:val="24"/>
              </w:rPr>
              <w:t>。</w:t>
            </w:r>
          </w:p>
        </w:tc>
        <w:tc>
          <w:tcPr>
            <w:tcW w:w="1824" w:type="dxa"/>
            <w:vAlign w:val="center"/>
          </w:tcPr>
          <w:p>
            <w:pPr>
              <w:spacing w:before="74" w:line="229" w:lineRule="auto"/>
              <w:jc w:val="center"/>
              <w:rPr>
                <w:rFonts w:ascii="仿宋_GB2312" w:hAnsi="仿宋_GB2312" w:eastAsia="仿宋_GB2312" w:cs="仿宋_GB2312"/>
                <w:sz w:val="24"/>
              </w:rPr>
            </w:pPr>
            <w:r>
              <w:rPr>
                <w:rFonts w:hint="eastAsia" w:ascii="仿宋_GB2312" w:hAnsi="仿宋_GB2312" w:eastAsia="仿宋_GB2312" w:cs="仿宋_GB2312"/>
                <w:spacing w:val="8"/>
                <w:sz w:val="24"/>
              </w:rPr>
              <w:t>县</w:t>
            </w:r>
            <w:r>
              <w:rPr>
                <w:rFonts w:hint="eastAsia" w:ascii="仿宋_GB2312" w:hAnsi="仿宋_GB2312" w:eastAsia="仿宋_GB2312" w:cs="仿宋_GB2312"/>
                <w:spacing w:val="7"/>
                <w:sz w:val="24"/>
              </w:rPr>
              <w:t>文旅局</w:t>
            </w:r>
          </w:p>
        </w:tc>
        <w:tc>
          <w:tcPr>
            <w:tcW w:w="1134" w:type="dxa"/>
            <w:gridSpan w:val="2"/>
            <w:vAlign w:val="center"/>
          </w:tcPr>
          <w:p>
            <w:pPr>
              <w:spacing w:before="66" w:line="195" w:lineRule="auto"/>
              <w:jc w:val="center"/>
              <w:rPr>
                <w:rFonts w:ascii="仿宋_GB2312" w:hAnsi="仿宋_GB2312" w:eastAsia="仿宋_GB2312" w:cs="仿宋_GB2312"/>
                <w:sz w:val="24"/>
              </w:rPr>
            </w:pPr>
            <w:r>
              <w:rPr>
                <w:rFonts w:hint="eastAsia" w:ascii="仿宋_GB2312" w:hAnsi="仿宋_GB2312" w:eastAsia="仿宋_GB2312" w:cs="仿宋_GB2312"/>
                <w:spacing w:val="2"/>
                <w:sz w:val="24"/>
              </w:rPr>
              <w:t>8000</w:t>
            </w:r>
          </w:p>
        </w:tc>
        <w:tc>
          <w:tcPr>
            <w:tcW w:w="1276" w:type="dxa"/>
            <w:vAlign w:val="center"/>
          </w:tcPr>
          <w:p>
            <w:pPr>
              <w:jc w:val="center"/>
              <w:rPr>
                <w:rFonts w:ascii="仿宋_GB2312" w:hAnsi="仿宋_GB2312" w:eastAsia="仿宋_GB2312" w:cs="仿宋_GB2312"/>
                <w:sz w:val="24"/>
              </w:rPr>
            </w:pPr>
          </w:p>
        </w:tc>
        <w:tc>
          <w:tcPr>
            <w:tcW w:w="1416" w:type="dxa"/>
            <w:gridSpan w:val="2"/>
            <w:vAlign w:val="center"/>
          </w:tcPr>
          <w:p>
            <w:pPr>
              <w:jc w:val="center"/>
              <w:rPr>
                <w:rFonts w:ascii="仿宋_GB2312" w:hAnsi="仿宋_GB2312" w:eastAsia="仿宋_GB2312" w:cs="仿宋_GB2312"/>
                <w:sz w:val="24"/>
              </w:rPr>
            </w:pPr>
          </w:p>
        </w:tc>
        <w:tc>
          <w:tcPr>
            <w:tcW w:w="1195" w:type="dxa"/>
            <w:gridSpan w:val="2"/>
            <w:vAlign w:val="center"/>
          </w:tcPr>
          <w:p>
            <w:pPr>
              <w:spacing w:before="75" w:line="228" w:lineRule="auto"/>
              <w:jc w:val="center"/>
              <w:rPr>
                <w:rFonts w:ascii="仿宋_GB2312" w:hAnsi="仿宋_GB2312" w:eastAsia="仿宋_GB2312" w:cs="仿宋_GB2312"/>
                <w:sz w:val="24"/>
              </w:rPr>
            </w:pPr>
            <w:r>
              <w:rPr>
                <w:rFonts w:hint="eastAsia" w:ascii="仿宋_GB2312" w:hAnsi="仿宋_GB2312" w:eastAsia="仿宋_GB2312" w:cs="仿宋_GB2312"/>
                <w:spacing w:val="6"/>
                <w:sz w:val="24"/>
              </w:rPr>
              <w:t>储</w:t>
            </w:r>
            <w:r>
              <w:rPr>
                <w:rFonts w:hint="eastAsia" w:ascii="仿宋_GB2312" w:hAnsi="仿宋_GB2312" w:eastAsia="仿宋_GB2312" w:cs="仿宋_GB2312"/>
                <w:spacing w:val="5"/>
                <w:sz w:val="24"/>
              </w:rPr>
              <w:t>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7" w:hRule="atLeast"/>
        </w:trPr>
        <w:tc>
          <w:tcPr>
            <w:tcW w:w="766" w:type="dxa"/>
            <w:gridSpan w:val="2"/>
          </w:tcPr>
          <w:p>
            <w:pPr>
              <w:spacing w:line="275" w:lineRule="auto"/>
              <w:jc w:val="center"/>
              <w:rPr>
                <w:rFonts w:ascii="仿宋_GB2312" w:hAnsi="仿宋_GB2312" w:eastAsia="仿宋_GB2312" w:cs="仿宋_GB2312"/>
                <w:sz w:val="24"/>
              </w:rPr>
            </w:pPr>
          </w:p>
          <w:p>
            <w:pPr>
              <w:spacing w:line="275" w:lineRule="auto"/>
              <w:jc w:val="center"/>
              <w:rPr>
                <w:rFonts w:ascii="仿宋_GB2312" w:hAnsi="仿宋_GB2312" w:eastAsia="仿宋_GB2312" w:cs="仿宋_GB2312"/>
                <w:sz w:val="24"/>
              </w:rPr>
            </w:pPr>
          </w:p>
          <w:p>
            <w:pPr>
              <w:spacing w:before="66" w:line="194" w:lineRule="auto"/>
              <w:ind w:left="281"/>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pacing w:val="-1"/>
                <w:sz w:val="24"/>
                <w:lang w:val="en-US" w:eastAsia="zh-CN"/>
              </w:rPr>
              <w:t>49</w:t>
            </w:r>
          </w:p>
        </w:tc>
        <w:tc>
          <w:tcPr>
            <w:tcW w:w="1978" w:type="dxa"/>
            <w:gridSpan w:val="2"/>
            <w:vAlign w:val="center"/>
          </w:tcPr>
          <w:p>
            <w:pPr>
              <w:spacing w:before="143" w:line="227" w:lineRule="auto"/>
              <w:ind w:left="140"/>
              <w:jc w:val="center"/>
              <w:rPr>
                <w:rFonts w:ascii="仿宋_GB2312" w:hAnsi="仿宋_GB2312" w:eastAsia="仿宋_GB2312" w:cs="仿宋_GB2312"/>
                <w:sz w:val="24"/>
              </w:rPr>
            </w:pPr>
            <w:r>
              <w:rPr>
                <w:rFonts w:hint="eastAsia" w:ascii="仿宋_GB2312" w:hAnsi="仿宋_GB2312" w:eastAsia="仿宋_GB2312" w:cs="仿宋_GB2312"/>
                <w:spacing w:val="9"/>
                <w:sz w:val="24"/>
              </w:rPr>
              <w:t>湘湖片区生态</w:t>
            </w:r>
            <w:r>
              <w:rPr>
                <w:rFonts w:hint="eastAsia" w:ascii="仿宋_GB2312" w:hAnsi="仿宋_GB2312" w:eastAsia="仿宋_GB2312" w:cs="仿宋_GB2312"/>
                <w:spacing w:val="7"/>
                <w:sz w:val="24"/>
              </w:rPr>
              <w:t>修</w:t>
            </w:r>
            <w:r>
              <w:rPr>
                <w:rFonts w:hint="eastAsia" w:ascii="仿宋_GB2312" w:hAnsi="仿宋_GB2312" w:eastAsia="仿宋_GB2312" w:cs="仿宋_GB2312"/>
                <w:spacing w:val="12"/>
                <w:sz w:val="24"/>
              </w:rPr>
              <w:t>复</w:t>
            </w:r>
            <w:r>
              <w:rPr>
                <w:rFonts w:hint="eastAsia" w:ascii="仿宋_GB2312" w:hAnsi="仿宋_GB2312" w:eastAsia="仿宋_GB2312" w:cs="仿宋_GB2312"/>
                <w:spacing w:val="7"/>
                <w:sz w:val="24"/>
              </w:rPr>
              <w:t>工程及绿色发</w:t>
            </w:r>
            <w:r>
              <w:rPr>
                <w:rFonts w:hint="eastAsia" w:ascii="仿宋_GB2312" w:hAnsi="仿宋_GB2312" w:eastAsia="仿宋_GB2312" w:cs="仿宋_GB2312"/>
                <w:spacing w:val="10"/>
                <w:sz w:val="24"/>
              </w:rPr>
              <w:t>展</w:t>
            </w:r>
            <w:r>
              <w:rPr>
                <w:rFonts w:hint="eastAsia" w:ascii="仿宋_GB2312" w:hAnsi="仿宋_GB2312" w:eastAsia="仿宋_GB2312" w:cs="仿宋_GB2312"/>
                <w:spacing w:val="7"/>
                <w:sz w:val="24"/>
              </w:rPr>
              <w:t>示范项目</w:t>
            </w:r>
          </w:p>
        </w:tc>
        <w:tc>
          <w:tcPr>
            <w:tcW w:w="5682" w:type="dxa"/>
            <w:vAlign w:val="center"/>
          </w:tcPr>
          <w:p>
            <w:pPr>
              <w:spacing w:before="144" w:line="317" w:lineRule="auto"/>
              <w:ind w:left="115" w:right="105"/>
              <w:jc w:val="left"/>
              <w:rPr>
                <w:rFonts w:ascii="仿宋_GB2312" w:hAnsi="仿宋_GB2312" w:eastAsia="仿宋_GB2312" w:cs="仿宋_GB2312"/>
                <w:sz w:val="24"/>
              </w:rPr>
            </w:pPr>
            <w:r>
              <w:rPr>
                <w:rFonts w:hint="eastAsia" w:ascii="仿宋_GB2312" w:hAnsi="仿宋_GB2312" w:eastAsia="仿宋_GB2312" w:cs="仿宋_GB2312"/>
                <w:spacing w:val="11"/>
                <w:sz w:val="24"/>
              </w:rPr>
              <w:t>主要包括园区主干道路、支路、生态停车场、山</w:t>
            </w:r>
            <w:r>
              <w:rPr>
                <w:rFonts w:hint="eastAsia" w:ascii="仿宋_GB2312" w:hAnsi="仿宋_GB2312" w:eastAsia="仿宋_GB2312" w:cs="仿宋_GB2312"/>
                <w:spacing w:val="8"/>
                <w:sz w:val="24"/>
              </w:rPr>
              <w:t>体</w:t>
            </w:r>
            <w:r>
              <w:rPr>
                <w:rFonts w:hint="eastAsia" w:ascii="仿宋_GB2312" w:hAnsi="仿宋_GB2312" w:eastAsia="仿宋_GB2312" w:cs="仿宋_GB2312"/>
                <w:spacing w:val="1"/>
                <w:sz w:val="24"/>
              </w:rPr>
              <w:t>生态护坡等。其中道</w:t>
            </w:r>
            <w:r>
              <w:rPr>
                <w:rFonts w:hint="eastAsia" w:ascii="仿宋_GB2312" w:hAnsi="仿宋_GB2312" w:eastAsia="仿宋_GB2312" w:cs="仿宋_GB2312"/>
                <w:sz w:val="24"/>
              </w:rPr>
              <w:t>路园区主干路长度3085米，支</w:t>
            </w:r>
            <w:r>
              <w:rPr>
                <w:rFonts w:hint="eastAsia" w:ascii="仿宋_GB2312" w:hAnsi="仿宋_GB2312" w:eastAsia="仿宋_GB2312" w:cs="仿宋_GB2312"/>
                <w:spacing w:val="-11"/>
                <w:sz w:val="24"/>
              </w:rPr>
              <w:t>路</w:t>
            </w:r>
            <w:r>
              <w:rPr>
                <w:rFonts w:hint="eastAsia" w:ascii="仿宋_GB2312" w:hAnsi="仿宋_GB2312" w:eastAsia="仿宋_GB2312" w:cs="仿宋_GB2312"/>
                <w:spacing w:val="-8"/>
                <w:sz w:val="24"/>
              </w:rPr>
              <w:t>0.2万m；停车场面积1.1万㎡，护坡1600m。</w:t>
            </w:r>
          </w:p>
        </w:tc>
        <w:tc>
          <w:tcPr>
            <w:tcW w:w="1828" w:type="dxa"/>
            <w:gridSpan w:val="2"/>
          </w:tcPr>
          <w:p>
            <w:pPr>
              <w:spacing w:line="467" w:lineRule="auto"/>
              <w:jc w:val="center"/>
              <w:rPr>
                <w:rFonts w:ascii="仿宋_GB2312" w:hAnsi="仿宋_GB2312" w:eastAsia="仿宋_GB2312" w:cs="仿宋_GB2312"/>
                <w:sz w:val="24"/>
              </w:rPr>
            </w:pPr>
          </w:p>
          <w:p>
            <w:pPr>
              <w:spacing w:before="74" w:line="227" w:lineRule="auto"/>
              <w:ind w:left="637"/>
              <w:jc w:val="center"/>
              <w:rPr>
                <w:rFonts w:ascii="仿宋_GB2312" w:hAnsi="仿宋_GB2312" w:eastAsia="仿宋_GB2312" w:cs="仿宋_GB2312"/>
                <w:sz w:val="24"/>
              </w:rPr>
            </w:pPr>
            <w:r>
              <w:rPr>
                <w:rFonts w:hint="eastAsia" w:ascii="仿宋_GB2312" w:hAnsi="仿宋_GB2312" w:eastAsia="仿宋_GB2312" w:cs="仿宋_GB2312"/>
                <w:spacing w:val="7"/>
                <w:sz w:val="24"/>
              </w:rPr>
              <w:t>湘湖镇</w:t>
            </w:r>
          </w:p>
        </w:tc>
        <w:tc>
          <w:tcPr>
            <w:tcW w:w="1129" w:type="dxa"/>
          </w:tcPr>
          <w:p>
            <w:pPr>
              <w:spacing w:line="274" w:lineRule="auto"/>
              <w:jc w:val="center"/>
              <w:rPr>
                <w:rFonts w:ascii="仿宋_GB2312" w:hAnsi="仿宋_GB2312" w:eastAsia="仿宋_GB2312" w:cs="仿宋_GB2312"/>
                <w:sz w:val="24"/>
              </w:rPr>
            </w:pPr>
          </w:p>
          <w:p>
            <w:pPr>
              <w:spacing w:line="275" w:lineRule="auto"/>
              <w:jc w:val="center"/>
              <w:rPr>
                <w:rFonts w:ascii="仿宋_GB2312" w:hAnsi="仿宋_GB2312" w:eastAsia="仿宋_GB2312" w:cs="仿宋_GB2312"/>
                <w:sz w:val="24"/>
              </w:rPr>
            </w:pPr>
          </w:p>
          <w:p>
            <w:pPr>
              <w:spacing w:before="66" w:line="195" w:lineRule="auto"/>
              <w:ind w:left="270"/>
              <w:jc w:val="center"/>
              <w:rPr>
                <w:rFonts w:ascii="仿宋_GB2312" w:hAnsi="仿宋_GB2312" w:eastAsia="仿宋_GB2312" w:cs="仿宋_GB2312"/>
                <w:sz w:val="24"/>
              </w:rPr>
            </w:pPr>
            <w:r>
              <w:rPr>
                <w:rFonts w:hint="eastAsia" w:ascii="仿宋_GB2312" w:hAnsi="仿宋_GB2312" w:eastAsia="仿宋_GB2312" w:cs="仿宋_GB2312"/>
                <w:spacing w:val="4"/>
                <w:sz w:val="24"/>
              </w:rPr>
              <w:t>2700</w:t>
            </w:r>
            <w:r>
              <w:rPr>
                <w:rFonts w:hint="eastAsia" w:ascii="仿宋_GB2312" w:hAnsi="仿宋_GB2312" w:eastAsia="仿宋_GB2312" w:cs="仿宋_GB2312"/>
                <w:spacing w:val="3"/>
                <w:sz w:val="24"/>
              </w:rPr>
              <w:t>0</w:t>
            </w:r>
          </w:p>
        </w:tc>
        <w:tc>
          <w:tcPr>
            <w:tcW w:w="1286" w:type="dxa"/>
            <w:gridSpan w:val="3"/>
          </w:tcPr>
          <w:p>
            <w:pPr>
              <w:jc w:val="center"/>
              <w:rPr>
                <w:rFonts w:ascii="仿宋_GB2312" w:hAnsi="仿宋_GB2312" w:eastAsia="仿宋_GB2312" w:cs="仿宋_GB2312"/>
                <w:sz w:val="24"/>
              </w:rPr>
            </w:pPr>
          </w:p>
        </w:tc>
        <w:tc>
          <w:tcPr>
            <w:tcW w:w="1414" w:type="dxa"/>
            <w:gridSpan w:val="2"/>
          </w:tcPr>
          <w:p>
            <w:pPr>
              <w:jc w:val="center"/>
              <w:rPr>
                <w:rFonts w:ascii="仿宋_GB2312" w:hAnsi="仿宋_GB2312" w:eastAsia="仿宋_GB2312" w:cs="仿宋_GB2312"/>
                <w:sz w:val="24"/>
              </w:rPr>
            </w:pPr>
          </w:p>
        </w:tc>
        <w:tc>
          <w:tcPr>
            <w:tcW w:w="1192" w:type="dxa"/>
          </w:tcPr>
          <w:p>
            <w:pPr>
              <w:spacing w:line="250" w:lineRule="auto"/>
              <w:jc w:val="center"/>
              <w:rPr>
                <w:rFonts w:ascii="仿宋_GB2312" w:hAnsi="仿宋_GB2312" w:eastAsia="仿宋_GB2312" w:cs="仿宋_GB2312"/>
                <w:sz w:val="24"/>
              </w:rPr>
            </w:pPr>
          </w:p>
          <w:p>
            <w:pPr>
              <w:spacing w:line="250" w:lineRule="auto"/>
              <w:jc w:val="center"/>
              <w:rPr>
                <w:rFonts w:ascii="仿宋_GB2312" w:hAnsi="仿宋_GB2312" w:eastAsia="仿宋_GB2312" w:cs="仿宋_GB2312"/>
                <w:sz w:val="24"/>
              </w:rPr>
            </w:pPr>
          </w:p>
          <w:p>
            <w:pPr>
              <w:spacing w:before="74" w:line="228" w:lineRule="auto"/>
              <w:ind w:left="369"/>
              <w:jc w:val="center"/>
              <w:rPr>
                <w:rFonts w:ascii="仿宋_GB2312" w:hAnsi="仿宋_GB2312" w:eastAsia="仿宋_GB2312" w:cs="仿宋_GB2312"/>
                <w:sz w:val="24"/>
              </w:rPr>
            </w:pPr>
            <w:r>
              <w:rPr>
                <w:rFonts w:hint="eastAsia" w:ascii="仿宋_GB2312" w:hAnsi="仿宋_GB2312" w:eastAsia="仿宋_GB2312" w:cs="仿宋_GB2312"/>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766" w:type="dxa"/>
            <w:gridSpan w:val="2"/>
            <w:vAlign w:val="center"/>
          </w:tcPr>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序号</w:t>
            </w:r>
          </w:p>
        </w:tc>
        <w:tc>
          <w:tcPr>
            <w:tcW w:w="1978" w:type="dxa"/>
            <w:gridSpan w:val="2"/>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项目名称</w:t>
            </w:r>
          </w:p>
        </w:tc>
        <w:tc>
          <w:tcPr>
            <w:tcW w:w="5682" w:type="dxa"/>
            <w:vAlign w:val="center"/>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建设内容</w:t>
            </w:r>
          </w:p>
        </w:tc>
        <w:tc>
          <w:tcPr>
            <w:tcW w:w="1828" w:type="dxa"/>
            <w:gridSpan w:val="2"/>
            <w:vAlign w:val="top"/>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建设单位</w:t>
            </w:r>
          </w:p>
        </w:tc>
        <w:tc>
          <w:tcPr>
            <w:tcW w:w="1129" w:type="dxa"/>
            <w:vAlign w:val="top"/>
          </w:tcPr>
          <w:p>
            <w:pPr>
              <w:spacing w:line="300" w:lineRule="auto"/>
              <w:jc w:val="center"/>
              <w:rPr>
                <w:rFonts w:ascii="仿宋_GB2312" w:hAnsi="仿宋_GB2312" w:eastAsia="仿宋_GB2312" w:cs="仿宋_GB2312"/>
                <w:sz w:val="24"/>
              </w:rPr>
            </w:pPr>
            <w:r>
              <w:rPr>
                <w:rFonts w:hint="eastAsia" w:ascii="仿宋_GB2312" w:hAnsi="仿宋_GB2312" w:eastAsia="仿宋_GB2312" w:cs="仿宋_GB2312"/>
                <w:sz w:val="24"/>
              </w:rPr>
              <w:t>总投资</w:t>
            </w: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(万元)</w:t>
            </w:r>
          </w:p>
        </w:tc>
        <w:tc>
          <w:tcPr>
            <w:tcW w:w="1286" w:type="dxa"/>
            <w:gridSpan w:val="3"/>
            <w:vAlign w:val="top"/>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开工时间</w:t>
            </w:r>
          </w:p>
        </w:tc>
        <w:tc>
          <w:tcPr>
            <w:tcW w:w="1414" w:type="dxa"/>
            <w:gridSpan w:val="2"/>
            <w:vAlign w:val="top"/>
          </w:tcPr>
          <w:p>
            <w:pPr>
              <w:spacing w:line="300" w:lineRule="auto"/>
              <w:jc w:val="center"/>
              <w:rPr>
                <w:rFonts w:ascii="仿宋_GB2312" w:hAnsi="仿宋_GB2312" w:eastAsia="仿宋_GB2312" w:cs="仿宋_GB2312"/>
                <w:sz w:val="24"/>
              </w:rPr>
            </w:pPr>
          </w:p>
          <w:p>
            <w:pPr>
              <w:spacing w:line="300" w:lineRule="auto"/>
              <w:jc w:val="center"/>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竣工时间</w:t>
            </w:r>
          </w:p>
        </w:tc>
        <w:tc>
          <w:tcPr>
            <w:tcW w:w="1192" w:type="dxa"/>
            <w:vAlign w:val="top"/>
          </w:tcPr>
          <w:p>
            <w:pPr>
              <w:spacing w:line="300" w:lineRule="auto"/>
              <w:jc w:val="center"/>
              <w:rPr>
                <w:rFonts w:ascii="仿宋_GB2312" w:hAnsi="仿宋_GB2312" w:eastAsia="仿宋_GB2312" w:cs="仿宋_GB2312"/>
                <w:sz w:val="24"/>
              </w:rPr>
            </w:pPr>
          </w:p>
          <w:p>
            <w:pPr>
              <w:spacing w:line="30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rPr>
              <w:t>项目性质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0" w:hRule="atLeast"/>
        </w:trPr>
        <w:tc>
          <w:tcPr>
            <w:tcW w:w="766" w:type="dxa"/>
            <w:gridSpan w:val="2"/>
          </w:tcPr>
          <w:p>
            <w:pPr>
              <w:spacing w:line="343" w:lineRule="auto"/>
              <w:jc w:val="center"/>
              <w:rPr>
                <w:rFonts w:ascii="仿宋_GB2312" w:hAnsi="仿宋_GB2312" w:eastAsia="仿宋_GB2312" w:cs="仿宋_GB2312"/>
                <w:sz w:val="24"/>
              </w:rPr>
            </w:pPr>
          </w:p>
          <w:p>
            <w:pPr>
              <w:spacing w:line="343" w:lineRule="auto"/>
              <w:jc w:val="center"/>
              <w:rPr>
                <w:rFonts w:ascii="仿宋_GB2312" w:hAnsi="仿宋_GB2312" w:eastAsia="仿宋_GB2312" w:cs="仿宋_GB2312"/>
                <w:sz w:val="24"/>
              </w:rPr>
            </w:pPr>
          </w:p>
          <w:p>
            <w:pPr>
              <w:spacing w:before="66" w:line="194" w:lineRule="auto"/>
              <w:ind w:left="281"/>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50</w:t>
            </w:r>
          </w:p>
        </w:tc>
        <w:tc>
          <w:tcPr>
            <w:tcW w:w="1978" w:type="dxa"/>
            <w:gridSpan w:val="2"/>
            <w:vAlign w:val="center"/>
          </w:tcPr>
          <w:p>
            <w:pPr>
              <w:spacing w:before="283" w:line="227" w:lineRule="auto"/>
              <w:ind w:left="144"/>
              <w:jc w:val="center"/>
              <w:rPr>
                <w:rFonts w:ascii="仿宋_GB2312" w:hAnsi="仿宋_GB2312" w:eastAsia="仿宋_GB2312" w:cs="仿宋_GB2312"/>
                <w:sz w:val="24"/>
              </w:rPr>
            </w:pPr>
            <w:r>
              <w:rPr>
                <w:rFonts w:hint="eastAsia" w:ascii="仿宋_GB2312" w:hAnsi="仿宋_GB2312" w:eastAsia="仿宋_GB2312" w:cs="仿宋_GB2312"/>
                <w:spacing w:val="9"/>
                <w:sz w:val="24"/>
              </w:rPr>
              <w:t>南</w:t>
            </w:r>
            <w:r>
              <w:rPr>
                <w:rFonts w:hint="eastAsia" w:ascii="仿宋_GB2312" w:hAnsi="仿宋_GB2312" w:eastAsia="仿宋_GB2312" w:cs="仿宋_GB2312"/>
                <w:spacing w:val="8"/>
                <w:sz w:val="24"/>
              </w:rPr>
              <w:t>河流域湘湖镇</w:t>
            </w:r>
            <w:r>
              <w:rPr>
                <w:rFonts w:hint="eastAsia" w:ascii="仿宋_GB2312" w:hAnsi="仿宋_GB2312" w:eastAsia="仿宋_GB2312" w:cs="仿宋_GB2312"/>
                <w:spacing w:val="11"/>
                <w:sz w:val="24"/>
              </w:rPr>
              <w:t>段</w:t>
            </w:r>
            <w:r>
              <w:rPr>
                <w:rFonts w:hint="eastAsia" w:ascii="仿宋_GB2312" w:hAnsi="仿宋_GB2312" w:eastAsia="仿宋_GB2312" w:cs="仿宋_GB2312"/>
                <w:spacing w:val="8"/>
                <w:sz w:val="24"/>
              </w:rPr>
              <w:t>水环境保护与</w:t>
            </w:r>
            <w:r>
              <w:rPr>
                <w:rFonts w:hint="eastAsia" w:ascii="仿宋_GB2312" w:hAnsi="仿宋_GB2312" w:eastAsia="仿宋_GB2312" w:cs="仿宋_GB2312"/>
                <w:spacing w:val="6"/>
                <w:sz w:val="24"/>
              </w:rPr>
              <w:t>治理项目</w:t>
            </w:r>
          </w:p>
        </w:tc>
        <w:tc>
          <w:tcPr>
            <w:tcW w:w="5682" w:type="dxa"/>
            <w:vAlign w:val="center"/>
          </w:tcPr>
          <w:p>
            <w:pPr>
              <w:spacing w:before="84" w:line="321" w:lineRule="auto"/>
              <w:ind w:left="112" w:right="43"/>
              <w:jc w:val="left"/>
              <w:rPr>
                <w:rFonts w:ascii="仿宋_GB2312" w:hAnsi="仿宋_GB2312" w:eastAsia="仿宋_GB2312" w:cs="仿宋_GB2312"/>
                <w:sz w:val="24"/>
              </w:rPr>
            </w:pPr>
            <w:r>
              <w:rPr>
                <w:rFonts w:hint="eastAsia" w:ascii="仿宋_GB2312" w:hAnsi="仿宋_GB2312" w:eastAsia="仿宋_GB2312" w:cs="仿宋_GB2312"/>
                <w:spacing w:val="11"/>
                <w:sz w:val="24"/>
              </w:rPr>
              <w:t>滩涂用地、汇水区域建设治理型垂直留人工湿地</w:t>
            </w:r>
            <w:r>
              <w:rPr>
                <w:rFonts w:hint="eastAsia" w:ascii="仿宋_GB2312" w:hAnsi="仿宋_GB2312" w:eastAsia="仿宋_GB2312" w:cs="仿宋_GB2312"/>
                <w:spacing w:val="10"/>
                <w:sz w:val="24"/>
              </w:rPr>
              <w:t>系</w:t>
            </w:r>
            <w:r>
              <w:rPr>
                <w:rFonts w:hint="eastAsia" w:ascii="仿宋_GB2312" w:hAnsi="仿宋_GB2312" w:eastAsia="仿宋_GB2312" w:cs="仿宋_GB2312"/>
                <w:spacing w:val="-10"/>
                <w:sz w:val="24"/>
              </w:rPr>
              <w:t>统3</w:t>
            </w:r>
            <w:r>
              <w:rPr>
                <w:rFonts w:hint="eastAsia" w:ascii="仿宋_GB2312" w:hAnsi="仿宋_GB2312" w:eastAsia="仿宋_GB2312" w:cs="仿宋_GB2312"/>
                <w:spacing w:val="-6"/>
                <w:sz w:val="24"/>
              </w:rPr>
              <w:t>0</w:t>
            </w:r>
            <w:r>
              <w:rPr>
                <w:rFonts w:hint="eastAsia" w:ascii="仿宋_GB2312" w:hAnsi="仿宋_GB2312" w:eastAsia="仿宋_GB2312" w:cs="仿宋_GB2312"/>
                <w:spacing w:val="-5"/>
                <w:sz w:val="24"/>
              </w:rPr>
              <w:t>亩，在水系岸带建设植被缓冲带10万平方米，</w:t>
            </w:r>
            <w:r>
              <w:rPr>
                <w:rFonts w:hint="eastAsia" w:ascii="仿宋_GB2312" w:hAnsi="仿宋_GB2312" w:eastAsia="仿宋_GB2312" w:cs="仿宋_GB2312"/>
                <w:spacing w:val="10"/>
                <w:sz w:val="24"/>
              </w:rPr>
              <w:t>在</w:t>
            </w:r>
            <w:r>
              <w:rPr>
                <w:rFonts w:hint="eastAsia" w:ascii="仿宋_GB2312" w:hAnsi="仿宋_GB2312" w:eastAsia="仿宋_GB2312" w:cs="仿宋_GB2312"/>
                <w:spacing w:val="7"/>
                <w:sz w:val="24"/>
              </w:rPr>
              <w:t>水</w:t>
            </w:r>
            <w:r>
              <w:rPr>
                <w:rFonts w:hint="eastAsia" w:ascii="仿宋_GB2312" w:hAnsi="仿宋_GB2312" w:eastAsia="仿宋_GB2312" w:cs="仿宋_GB2312"/>
                <w:spacing w:val="5"/>
                <w:sz w:val="24"/>
              </w:rPr>
              <w:t>系上建设生态拦截坝5座，在陶瓷大学污水排</w:t>
            </w:r>
            <w:r>
              <w:rPr>
                <w:rFonts w:hint="eastAsia" w:ascii="仿宋_GB2312" w:hAnsi="仿宋_GB2312" w:eastAsia="仿宋_GB2312" w:cs="仿宋_GB2312"/>
                <w:spacing w:val="-1"/>
                <w:sz w:val="24"/>
              </w:rPr>
              <w:t>放口、湘湖镇水厂上游实施水生态原位修复2万</w:t>
            </w:r>
            <w:r>
              <w:rPr>
                <w:rFonts w:hint="eastAsia" w:ascii="仿宋_GB2312" w:hAnsi="仿宋_GB2312" w:eastAsia="仿宋_GB2312" w:cs="仿宋_GB2312"/>
                <w:sz w:val="24"/>
              </w:rPr>
              <w:t>㎡。</w:t>
            </w:r>
          </w:p>
        </w:tc>
        <w:tc>
          <w:tcPr>
            <w:tcW w:w="1828" w:type="dxa"/>
            <w:gridSpan w:val="2"/>
          </w:tcPr>
          <w:p>
            <w:pPr>
              <w:spacing w:line="302" w:lineRule="auto"/>
              <w:jc w:val="center"/>
              <w:rPr>
                <w:rFonts w:ascii="仿宋_GB2312" w:hAnsi="仿宋_GB2312" w:eastAsia="仿宋_GB2312" w:cs="仿宋_GB2312"/>
                <w:sz w:val="24"/>
              </w:rPr>
            </w:pPr>
          </w:p>
          <w:p>
            <w:pPr>
              <w:spacing w:line="303" w:lineRule="auto"/>
              <w:jc w:val="center"/>
              <w:rPr>
                <w:rFonts w:ascii="仿宋_GB2312" w:hAnsi="仿宋_GB2312" w:eastAsia="仿宋_GB2312" w:cs="仿宋_GB2312"/>
                <w:sz w:val="24"/>
              </w:rPr>
            </w:pPr>
          </w:p>
          <w:p>
            <w:pPr>
              <w:spacing w:before="75" w:line="227" w:lineRule="auto"/>
              <w:ind w:left="637"/>
              <w:jc w:val="center"/>
              <w:rPr>
                <w:rFonts w:ascii="仿宋_GB2312" w:hAnsi="仿宋_GB2312" w:eastAsia="仿宋_GB2312" w:cs="仿宋_GB2312"/>
                <w:sz w:val="24"/>
              </w:rPr>
            </w:pPr>
            <w:r>
              <w:rPr>
                <w:rFonts w:hint="eastAsia" w:ascii="仿宋_GB2312" w:hAnsi="仿宋_GB2312" w:eastAsia="仿宋_GB2312" w:cs="仿宋_GB2312"/>
                <w:spacing w:val="7"/>
                <w:sz w:val="24"/>
              </w:rPr>
              <w:t>湘湖镇</w:t>
            </w:r>
          </w:p>
        </w:tc>
        <w:tc>
          <w:tcPr>
            <w:tcW w:w="1129" w:type="dxa"/>
          </w:tcPr>
          <w:p>
            <w:pPr>
              <w:spacing w:line="343" w:lineRule="auto"/>
              <w:jc w:val="center"/>
              <w:rPr>
                <w:rFonts w:ascii="仿宋_GB2312" w:hAnsi="仿宋_GB2312" w:eastAsia="仿宋_GB2312" w:cs="仿宋_GB2312"/>
                <w:sz w:val="24"/>
              </w:rPr>
            </w:pPr>
          </w:p>
          <w:p>
            <w:pPr>
              <w:spacing w:line="343" w:lineRule="auto"/>
              <w:jc w:val="center"/>
              <w:rPr>
                <w:rFonts w:ascii="仿宋_GB2312" w:hAnsi="仿宋_GB2312" w:eastAsia="仿宋_GB2312" w:cs="仿宋_GB2312"/>
                <w:sz w:val="24"/>
              </w:rPr>
            </w:pPr>
          </w:p>
          <w:p>
            <w:pPr>
              <w:spacing w:before="66" w:line="194" w:lineRule="auto"/>
              <w:ind w:left="334"/>
              <w:jc w:val="center"/>
              <w:rPr>
                <w:rFonts w:ascii="仿宋_GB2312" w:hAnsi="仿宋_GB2312" w:eastAsia="仿宋_GB2312" w:cs="仿宋_GB2312"/>
                <w:sz w:val="24"/>
              </w:rPr>
            </w:pPr>
            <w:r>
              <w:rPr>
                <w:rFonts w:hint="eastAsia" w:ascii="仿宋_GB2312" w:hAnsi="仿宋_GB2312" w:eastAsia="仿宋_GB2312" w:cs="仿宋_GB2312"/>
                <w:spacing w:val="4"/>
                <w:sz w:val="24"/>
              </w:rPr>
              <w:t>3</w:t>
            </w:r>
            <w:r>
              <w:rPr>
                <w:rFonts w:hint="eastAsia" w:ascii="仿宋_GB2312" w:hAnsi="仿宋_GB2312" w:eastAsia="仿宋_GB2312" w:cs="仿宋_GB2312"/>
                <w:spacing w:val="2"/>
                <w:sz w:val="24"/>
              </w:rPr>
              <w:t>000</w:t>
            </w:r>
          </w:p>
        </w:tc>
        <w:tc>
          <w:tcPr>
            <w:tcW w:w="1286" w:type="dxa"/>
            <w:gridSpan w:val="3"/>
          </w:tcPr>
          <w:p>
            <w:pPr>
              <w:jc w:val="center"/>
              <w:rPr>
                <w:rFonts w:ascii="仿宋_GB2312" w:hAnsi="仿宋_GB2312" w:eastAsia="仿宋_GB2312" w:cs="仿宋_GB2312"/>
                <w:sz w:val="24"/>
              </w:rPr>
            </w:pPr>
          </w:p>
        </w:tc>
        <w:tc>
          <w:tcPr>
            <w:tcW w:w="1414" w:type="dxa"/>
            <w:gridSpan w:val="2"/>
          </w:tcPr>
          <w:p>
            <w:pPr>
              <w:jc w:val="center"/>
              <w:rPr>
                <w:rFonts w:ascii="仿宋_GB2312" w:hAnsi="仿宋_GB2312" w:eastAsia="仿宋_GB2312" w:cs="仿宋_GB2312"/>
                <w:sz w:val="24"/>
              </w:rPr>
            </w:pPr>
          </w:p>
        </w:tc>
        <w:tc>
          <w:tcPr>
            <w:tcW w:w="1192" w:type="dxa"/>
          </w:tcPr>
          <w:p>
            <w:pPr>
              <w:spacing w:line="319" w:lineRule="auto"/>
              <w:jc w:val="center"/>
              <w:rPr>
                <w:rFonts w:ascii="仿宋_GB2312" w:hAnsi="仿宋_GB2312" w:eastAsia="仿宋_GB2312" w:cs="仿宋_GB2312"/>
                <w:sz w:val="24"/>
              </w:rPr>
            </w:pPr>
          </w:p>
          <w:p>
            <w:pPr>
              <w:spacing w:line="319" w:lineRule="auto"/>
              <w:jc w:val="center"/>
              <w:rPr>
                <w:rFonts w:ascii="仿宋_GB2312" w:hAnsi="仿宋_GB2312" w:eastAsia="仿宋_GB2312" w:cs="仿宋_GB2312"/>
                <w:sz w:val="24"/>
              </w:rPr>
            </w:pPr>
          </w:p>
          <w:p>
            <w:pPr>
              <w:spacing w:before="75" w:line="228" w:lineRule="auto"/>
              <w:ind w:left="369"/>
              <w:jc w:val="center"/>
              <w:rPr>
                <w:rFonts w:ascii="仿宋_GB2312" w:hAnsi="仿宋_GB2312" w:eastAsia="仿宋_GB2312" w:cs="仿宋_GB2312"/>
                <w:sz w:val="24"/>
              </w:rPr>
            </w:pPr>
            <w:r>
              <w:rPr>
                <w:rFonts w:hint="eastAsia" w:ascii="仿宋_GB2312" w:hAnsi="仿宋_GB2312" w:eastAsia="仿宋_GB2312" w:cs="仿宋_GB2312"/>
                <w:spacing w:val="3"/>
                <w:sz w:val="24"/>
              </w:rPr>
              <w:t>储备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5275" w:type="dxa"/>
            <w:gridSpan w:val="14"/>
            <w:vAlign w:val="top"/>
          </w:tcPr>
          <w:p>
            <w:pPr>
              <w:spacing w:before="119" w:line="228" w:lineRule="auto"/>
              <w:ind w:left="6241"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4"/>
                <w:sz w:val="24"/>
              </w:rPr>
              <w:t>小计：总投</w:t>
            </w:r>
            <w:r>
              <w:rPr>
                <w:rFonts w:hint="eastAsia" w:ascii="仿宋_GB2312" w:hAnsi="仿宋_GB2312" w:eastAsia="仿宋_GB2312" w:cs="仿宋_GB2312"/>
                <w:spacing w:val="2"/>
                <w:sz w:val="24"/>
              </w:rPr>
              <w:t>资</w:t>
            </w:r>
            <w:r>
              <w:rPr>
                <w:rFonts w:hint="eastAsia" w:ascii="仿宋_GB2312" w:hAnsi="仿宋_GB2312" w:eastAsia="仿宋_GB2312" w:cs="仿宋_GB2312"/>
                <w:spacing w:val="2"/>
                <w:sz w:val="24"/>
                <w:lang w:val="en-US" w:eastAsia="zh-CN"/>
              </w:rPr>
              <w:t>19.4</w:t>
            </w:r>
            <w:r>
              <w:rPr>
                <w:rFonts w:hint="eastAsia" w:ascii="仿宋_GB2312" w:hAnsi="仿宋_GB2312" w:eastAsia="仿宋_GB2312" w:cs="仿宋_GB2312"/>
                <w:spacing w:val="2"/>
                <w:sz w:val="24"/>
              </w:rPr>
              <w:t>亿元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5275" w:type="dxa"/>
            <w:gridSpan w:val="14"/>
            <w:vAlign w:val="top"/>
          </w:tcPr>
          <w:p>
            <w:pPr>
              <w:spacing w:before="119" w:line="228" w:lineRule="auto"/>
              <w:ind w:left="6176" w:leftChars="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pacing w:val="3"/>
                <w:sz w:val="24"/>
              </w:rPr>
              <w:t>合计：总投资</w:t>
            </w:r>
            <w:r>
              <w:rPr>
                <w:rFonts w:hint="eastAsia" w:ascii="仿宋_GB2312" w:hAnsi="仿宋_GB2312" w:eastAsia="仿宋_GB2312" w:cs="仿宋_GB2312"/>
                <w:spacing w:val="3"/>
                <w:sz w:val="24"/>
                <w:lang w:val="en-US" w:eastAsia="zh-CN"/>
              </w:rPr>
              <w:t>396.7</w:t>
            </w:r>
            <w:r>
              <w:rPr>
                <w:rFonts w:hint="eastAsia" w:ascii="仿宋_GB2312" w:hAnsi="仿宋_GB2312" w:eastAsia="仿宋_GB2312" w:cs="仿宋_GB2312"/>
                <w:spacing w:val="3"/>
                <w:sz w:val="24"/>
              </w:rPr>
              <w:t>亿元</w:t>
            </w:r>
          </w:p>
        </w:tc>
      </w:tr>
    </w:tbl>
    <w:p>
      <w:pPr>
        <w:keepNext w:val="0"/>
        <w:keepLines w:val="0"/>
        <w:pageBreakBefore w:val="0"/>
        <w:widowControl w:val="0"/>
        <w:kinsoku/>
        <w:wordWrap/>
        <w:overflowPunct/>
        <w:topLinePunct w:val="0"/>
        <w:autoSpaceDE/>
        <w:autoSpaceDN/>
        <w:bidi w:val="0"/>
        <w:adjustRightInd/>
        <w:snapToGrid/>
        <w:spacing w:before="147" w:line="300" w:lineRule="exact"/>
        <w:ind w:left="364" w:right="295" w:firstLine="3"/>
        <w:jc w:val="left"/>
        <w:textAlignment w:val="auto"/>
        <w:rPr>
          <w:rFonts w:hint="default" w:ascii="宋体" w:hAnsi="宋体" w:eastAsia="宋体" w:cs="宋体"/>
          <w:spacing w:val="8"/>
          <w:sz w:val="23"/>
          <w:szCs w:val="23"/>
          <w:lang w:val="en-US" w:eastAsia="zh-CN"/>
        </w:rPr>
      </w:pPr>
      <w:r>
        <w:rPr>
          <w:rFonts w:ascii="宋体" w:hAnsi="宋体" w:eastAsia="宋体" w:cs="宋体"/>
          <w:spacing w:val="12"/>
          <w:sz w:val="23"/>
          <w:szCs w:val="23"/>
        </w:rPr>
        <w:t>备注：</w:t>
      </w:r>
      <w:r>
        <w:rPr>
          <w:rFonts w:ascii="宋体" w:hAnsi="宋体" w:eastAsia="宋体" w:cs="宋体"/>
          <w:spacing w:val="8"/>
          <w:kern w:val="2"/>
          <w:sz w:val="23"/>
          <w:szCs w:val="23"/>
          <w:lang w:val="en-US" w:eastAsia="zh-CN" w:bidi="ar-SA"/>
        </w:rPr>
        <w:t>1.</w:t>
      </w:r>
      <w:r>
        <w:rPr>
          <w:rFonts w:ascii="宋体" w:hAnsi="宋体" w:eastAsia="宋体" w:cs="宋体"/>
          <w:spacing w:val="9"/>
          <w:sz w:val="23"/>
          <w:szCs w:val="23"/>
        </w:rPr>
        <w:t>按</w:t>
      </w:r>
      <w:r>
        <w:rPr>
          <w:rFonts w:ascii="宋体" w:hAnsi="宋体" w:eastAsia="宋体" w:cs="宋体"/>
          <w:spacing w:val="6"/>
          <w:sz w:val="23"/>
          <w:szCs w:val="23"/>
        </w:rPr>
        <w:t>照新平先行区总体发展规划涉及的主要有关领域，项目分文旅、文创、会展类，陶瓷产业、科创类，基础设施类，公共服务类，</w:t>
      </w:r>
      <w:r>
        <w:rPr>
          <w:rFonts w:ascii="宋体" w:hAnsi="宋体" w:eastAsia="宋体" w:cs="宋体"/>
          <w:spacing w:val="16"/>
          <w:sz w:val="23"/>
          <w:szCs w:val="23"/>
        </w:rPr>
        <w:t>生态环境治</w:t>
      </w:r>
      <w:r>
        <w:rPr>
          <w:rFonts w:ascii="宋体" w:hAnsi="宋体" w:eastAsia="宋体" w:cs="宋体"/>
          <w:spacing w:val="11"/>
          <w:sz w:val="23"/>
          <w:szCs w:val="23"/>
        </w:rPr>
        <w:t>理</w:t>
      </w:r>
      <w:r>
        <w:rPr>
          <w:rFonts w:ascii="宋体" w:hAnsi="宋体" w:eastAsia="宋体" w:cs="宋体"/>
          <w:spacing w:val="8"/>
          <w:sz w:val="23"/>
          <w:szCs w:val="23"/>
        </w:rPr>
        <w:t>类五大类，先行区内其他无关的一、二、三产业和公共服务项目不纳入；</w:t>
      </w:r>
      <w:r>
        <w:rPr>
          <w:rFonts w:hint="eastAsia" w:ascii="宋体" w:hAnsi="宋体" w:eastAsia="宋体" w:cs="宋体"/>
          <w:spacing w:val="8"/>
          <w:kern w:val="2"/>
          <w:sz w:val="23"/>
          <w:szCs w:val="23"/>
          <w:lang w:val="en-US" w:eastAsia="zh-CN" w:bidi="ar-SA"/>
        </w:rPr>
        <w:t>2.</w:t>
      </w:r>
      <w:r>
        <w:rPr>
          <w:rFonts w:ascii="宋体" w:hAnsi="宋体" w:eastAsia="宋体" w:cs="宋体"/>
          <w:spacing w:val="8"/>
          <w:kern w:val="2"/>
          <w:sz w:val="23"/>
          <w:szCs w:val="23"/>
          <w:lang w:val="en-US" w:eastAsia="zh-CN" w:bidi="ar-SA"/>
        </w:rPr>
        <w:t>一些储备类项目的投资额和实施时间为预估数，具体可根据项目实施情况再作调整</w:t>
      </w:r>
      <w:r>
        <w:rPr>
          <w:rFonts w:hint="eastAsia" w:ascii="宋体" w:hAnsi="宋体" w:eastAsia="宋体" w:cs="宋体"/>
          <w:spacing w:val="8"/>
          <w:kern w:val="2"/>
          <w:sz w:val="23"/>
          <w:szCs w:val="23"/>
          <w:lang w:val="en-US" w:eastAsia="zh-CN" w:bidi="ar-SA"/>
        </w:rPr>
        <w:t>；3.项目投资额最小计量单位为千</w:t>
      </w:r>
      <w:r>
        <w:rPr>
          <w:rFonts w:hint="eastAsia" w:ascii="宋体" w:hAnsi="宋体" w:eastAsia="宋体" w:cs="宋体"/>
          <w:spacing w:val="8"/>
          <w:sz w:val="23"/>
          <w:szCs w:val="23"/>
        </w:rPr>
        <w:t>万</w:t>
      </w:r>
      <w:r>
        <w:rPr>
          <w:rFonts w:hint="eastAsia" w:ascii="宋体" w:hAnsi="宋体" w:eastAsia="宋体" w:cs="宋体"/>
          <w:spacing w:val="8"/>
          <w:sz w:val="23"/>
          <w:szCs w:val="23"/>
          <w:lang w:val="en-US" w:eastAsia="zh-CN"/>
        </w:rPr>
        <w:t>。</w:t>
      </w:r>
    </w:p>
    <w:p>
      <w:pPr>
        <w:jc w:val="center"/>
        <w:rPr>
          <w:rFonts w:ascii="仿宋_GB2312" w:hAnsi="仿宋_GB2312" w:eastAsia="仿宋_GB2312" w:cs="仿宋_GB2312"/>
          <w:sz w:val="24"/>
        </w:rPr>
        <w:sectPr>
          <w:footerReference r:id="rId13" w:type="default"/>
          <w:pgSz w:w="16839" w:h="11906"/>
          <w:pgMar w:top="1012" w:right="778" w:bottom="1094" w:left="777" w:header="0" w:footer="855" w:gutter="0"/>
          <w:pgNumType w:fmt="decimal"/>
          <w:cols w:space="720" w:num="1"/>
        </w:sectPr>
      </w:pPr>
    </w:p>
    <w:p>
      <w:pPr>
        <w:pStyle w:val="7"/>
        <w:rPr>
          <w:rFonts w:hint="eastAsia"/>
          <w:lang w:eastAsia="zh-CN"/>
        </w:rPr>
      </w:pPr>
    </w:p>
    <w:sectPr>
      <w:footerReference r:id="rId1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56</w:t>
                    </w:r>
                    <w:r>
                      <w:fldChar w:fldCharType="end"/>
                    </w:r>
                  </w:p>
                </w:txbxContent>
              </v:textbox>
            </v:shape>
          </w:pict>
        </mc:Fallback>
      </mc:AlternateContent>
    </w:r>
    <w:r>
      <w:rPr>
        <w:rFonts w:ascii="仿宋" w:hAnsi="仿宋" w:eastAsia="仿宋" w:cs="仿宋"/>
        <w:spacing w:val="4"/>
        <w:sz w:val="23"/>
        <w:szCs w:val="23"/>
      </w:rPr>
      <w:t>- 55 -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38928388"/>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038928388"/>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63"/>
      <w:rPr>
        <w:rFonts w:ascii="仿宋" w:hAnsi="仿宋" w:eastAsia="仿宋" w:cs="仿宋"/>
        <w:sz w:val="23"/>
        <w:szCs w:val="23"/>
      </w:rPr>
    </w:pPr>
    <w:r>
      <w:rPr>
        <w:sz w:val="23"/>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63"/>
      <w:rPr>
        <w:rFonts w:ascii="仿宋" w:hAnsi="仿宋" w:eastAsia="仿宋" w:cs="仿宋"/>
        <w:sz w:val="23"/>
        <w:szCs w:val="23"/>
      </w:rPr>
    </w:pPr>
    <w:r>
      <w:rPr>
        <w:sz w:val="2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63"/>
      <w:rPr>
        <w:rFonts w:ascii="仿宋" w:hAnsi="仿宋" w:eastAsia="仿宋" w:cs="仿宋"/>
        <w:sz w:val="23"/>
        <w:szCs w:val="23"/>
      </w:rPr>
    </w:pPr>
    <w:r>
      <w:rPr>
        <w:sz w:val="2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right="354"/>
      <w:jc w:val="right"/>
      <w:rPr>
        <w:rFonts w:ascii="仿宋" w:hAnsi="仿宋" w:eastAsia="仿宋" w:cs="仿宋"/>
        <w:sz w:val="23"/>
        <w:szCs w:val="23"/>
      </w:rPr>
    </w:pPr>
    <w:r>
      <w:rPr>
        <w:sz w:val="2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363"/>
      <w:rPr>
        <w:rFonts w:ascii="仿宋" w:hAnsi="仿宋" w:eastAsia="仿宋" w:cs="仿宋"/>
        <w:sz w:val="23"/>
        <w:szCs w:val="23"/>
      </w:rPr>
    </w:pPr>
    <w:r>
      <w:rPr>
        <w:sz w:val="2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hNzNjMWNmOGNmOTQ4ZDg5NDYzMGQxMDc4NWY0NmYifQ=="/>
  </w:docVars>
  <w:rsids>
    <w:rsidRoot w:val="00172A27"/>
    <w:rsid w:val="00030E66"/>
    <w:rsid w:val="00172A27"/>
    <w:rsid w:val="001D5516"/>
    <w:rsid w:val="004A349C"/>
    <w:rsid w:val="005D48BA"/>
    <w:rsid w:val="00770E46"/>
    <w:rsid w:val="00892289"/>
    <w:rsid w:val="008D106B"/>
    <w:rsid w:val="00963438"/>
    <w:rsid w:val="00A20D64"/>
    <w:rsid w:val="00A3230C"/>
    <w:rsid w:val="00B44DAA"/>
    <w:rsid w:val="00BD4297"/>
    <w:rsid w:val="00C20CA1"/>
    <w:rsid w:val="00C73022"/>
    <w:rsid w:val="00D44598"/>
    <w:rsid w:val="00FF1BE2"/>
    <w:rsid w:val="02B524B0"/>
    <w:rsid w:val="03BF2FF6"/>
    <w:rsid w:val="04FE63B4"/>
    <w:rsid w:val="05B11678"/>
    <w:rsid w:val="074662CE"/>
    <w:rsid w:val="09045F63"/>
    <w:rsid w:val="09CF72D4"/>
    <w:rsid w:val="09E0077E"/>
    <w:rsid w:val="0A792DCD"/>
    <w:rsid w:val="10BF2D33"/>
    <w:rsid w:val="112E1DCF"/>
    <w:rsid w:val="13337B71"/>
    <w:rsid w:val="14117786"/>
    <w:rsid w:val="14BE518E"/>
    <w:rsid w:val="155B515D"/>
    <w:rsid w:val="170E0CFE"/>
    <w:rsid w:val="1BD449BA"/>
    <w:rsid w:val="1CEB14BC"/>
    <w:rsid w:val="1F1545CE"/>
    <w:rsid w:val="1FD15584"/>
    <w:rsid w:val="20871E16"/>
    <w:rsid w:val="20A25A3B"/>
    <w:rsid w:val="22283036"/>
    <w:rsid w:val="22AD62A7"/>
    <w:rsid w:val="24C708A8"/>
    <w:rsid w:val="25061AC5"/>
    <w:rsid w:val="266C5833"/>
    <w:rsid w:val="282327DF"/>
    <w:rsid w:val="293638F7"/>
    <w:rsid w:val="2AEF2177"/>
    <w:rsid w:val="2CFE66A2"/>
    <w:rsid w:val="32BB6FBE"/>
    <w:rsid w:val="332A1EE1"/>
    <w:rsid w:val="3B2C1ADA"/>
    <w:rsid w:val="3BF35840"/>
    <w:rsid w:val="3C8B35C3"/>
    <w:rsid w:val="3CBC1C98"/>
    <w:rsid w:val="3CF85B7F"/>
    <w:rsid w:val="3F0A35CC"/>
    <w:rsid w:val="417F7EF9"/>
    <w:rsid w:val="427C2684"/>
    <w:rsid w:val="43BF2BD7"/>
    <w:rsid w:val="44080425"/>
    <w:rsid w:val="469C1A98"/>
    <w:rsid w:val="46C71DA3"/>
    <w:rsid w:val="4A0C5BBF"/>
    <w:rsid w:val="4B15132F"/>
    <w:rsid w:val="4D5E42F4"/>
    <w:rsid w:val="52E60EB2"/>
    <w:rsid w:val="52F824B3"/>
    <w:rsid w:val="57896534"/>
    <w:rsid w:val="58674AFE"/>
    <w:rsid w:val="5C0B2DBE"/>
    <w:rsid w:val="5CDE55B8"/>
    <w:rsid w:val="5F5C716F"/>
    <w:rsid w:val="62240E79"/>
    <w:rsid w:val="6CE2567A"/>
    <w:rsid w:val="6EDE483B"/>
    <w:rsid w:val="75DA7312"/>
    <w:rsid w:val="76190EBB"/>
    <w:rsid w:val="77B9416B"/>
    <w:rsid w:val="77C364D1"/>
    <w:rsid w:val="79832730"/>
    <w:rsid w:val="79C5424B"/>
    <w:rsid w:val="7BD0440D"/>
    <w:rsid w:val="7CB205A0"/>
    <w:rsid w:val="7EB63DFB"/>
    <w:rsid w:val="7F0D7F93"/>
    <w:rsid w:val="7FAD2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 w:val="21"/>
      <w:szCs w:val="21"/>
    </w:rPr>
  </w:style>
  <w:style w:type="paragraph" w:styleId="5">
    <w:name w:val="Normal Indent"/>
    <w:basedOn w:val="1"/>
    <w:qFormat/>
    <w:uiPriority w:val="99"/>
    <w:rPr>
      <w:rFonts w:ascii="Times New Roman" w:hAnsi="Times New Roman"/>
      <w:sz w:val="24"/>
    </w:rPr>
  </w:style>
  <w:style w:type="paragraph" w:styleId="6">
    <w:name w:val="Body Text"/>
    <w:basedOn w:val="1"/>
    <w:next w:val="7"/>
    <w:unhideWhenUsed/>
    <w:qFormat/>
    <w:uiPriority w:val="1"/>
    <w:pPr>
      <w:spacing w:before="145"/>
      <w:ind w:left="117"/>
    </w:pPr>
    <w:rPr>
      <w:rFonts w:hint="eastAsia" w:ascii="宋体" w:hAnsi="宋体"/>
      <w:sz w:val="32"/>
    </w:rPr>
  </w:style>
  <w:style w:type="paragraph" w:styleId="7">
    <w:name w:val="Body Text First Indent"/>
    <w:basedOn w:val="6"/>
    <w:next w:val="8"/>
    <w:qFormat/>
    <w:uiPriority w:val="0"/>
    <w:pPr>
      <w:widowControl/>
      <w:ind w:firstLine="420"/>
      <w:jc w:val="left"/>
    </w:pPr>
    <w:rPr>
      <w:kern w:val="0"/>
      <w:sz w:val="24"/>
      <w:lang w:eastAsia="en-US" w:bidi="en-US"/>
    </w:rPr>
  </w:style>
  <w:style w:type="paragraph" w:styleId="8">
    <w:name w:val="Body Text Indent"/>
    <w:basedOn w:val="1"/>
    <w:next w:val="9"/>
    <w:semiHidden/>
    <w:unhideWhenUsed/>
    <w:qFormat/>
    <w:uiPriority w:val="99"/>
    <w:pPr>
      <w:spacing w:after="120"/>
      <w:ind w:left="420" w:leftChars="200"/>
    </w:pPr>
  </w:style>
  <w:style w:type="paragraph" w:styleId="9">
    <w:name w:val="Body Text First Indent 2"/>
    <w:basedOn w:val="8"/>
    <w:next w:val="1"/>
    <w:semiHidden/>
    <w:unhideWhenUsed/>
    <w:qFormat/>
    <w:uiPriority w:val="99"/>
    <w:pPr>
      <w:ind w:firstLine="420" w:firstLineChars="200"/>
    </w:pPr>
  </w:style>
  <w:style w:type="paragraph" w:styleId="10">
    <w:name w:val="endnote text"/>
    <w:basedOn w:val="1"/>
    <w:semiHidden/>
    <w:qFormat/>
    <w:uiPriority w:val="0"/>
    <w:pPr>
      <w:snapToGrid w:val="0"/>
      <w:jc w:val="left"/>
    </w:pPr>
  </w:style>
  <w:style w:type="paragraph" w:styleId="11">
    <w:name w:val="footer"/>
    <w:basedOn w:val="1"/>
    <w:link w:val="27"/>
    <w:unhideWhenUsed/>
    <w:qFormat/>
    <w:uiPriority w:val="99"/>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kern w:val="0"/>
      <w:sz w:val="24"/>
      <w:szCs w:val="24"/>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customStyle="1" w:styleId="22">
    <w:name w:val="NormalCharacter"/>
    <w:semiHidden/>
    <w:qFormat/>
    <w:uiPriority w:val="0"/>
  </w:style>
  <w:style w:type="paragraph" w:customStyle="1" w:styleId="23">
    <w:name w:val="BodyText1I"/>
    <w:basedOn w:val="24"/>
    <w:qFormat/>
    <w:uiPriority w:val="0"/>
    <w:pPr>
      <w:spacing w:after="0"/>
      <w:ind w:firstLine="420" w:firstLineChars="100"/>
    </w:pPr>
  </w:style>
  <w:style w:type="paragraph" w:customStyle="1" w:styleId="24">
    <w:name w:val="BodyText"/>
    <w:basedOn w:val="1"/>
    <w:next w:val="23"/>
    <w:qFormat/>
    <w:uiPriority w:val="0"/>
    <w:pPr>
      <w:spacing w:after="120"/>
    </w:pPr>
  </w:style>
  <w:style w:type="character" w:customStyle="1" w:styleId="25">
    <w:name w:val="页眉 字符"/>
    <w:basedOn w:val="19"/>
    <w:link w:val="12"/>
    <w:qFormat/>
    <w:uiPriority w:val="0"/>
    <w:rPr>
      <w:rFonts w:asciiTheme="minorHAnsi" w:hAnsiTheme="minorHAnsi" w:eastAsiaTheme="minorEastAsia" w:cstheme="minorBidi"/>
      <w:kern w:val="2"/>
      <w:sz w:val="18"/>
      <w:szCs w:val="18"/>
    </w:rPr>
  </w:style>
  <w:style w:type="paragraph" w:customStyle="1" w:styleId="26">
    <w:name w:val="TOC 标题1"/>
    <w:basedOn w:val="3"/>
    <w:next w:val="1"/>
    <w:unhideWhenUsed/>
    <w:qFormat/>
    <w:uiPriority w:val="39"/>
    <w:pPr>
      <w:keepNext/>
      <w:keepLines/>
      <w:widowControl/>
      <w:spacing w:before="240" w:beforeAutospacing="0" w:afterAutospacing="0" w:line="259" w:lineRule="auto"/>
      <w:outlineLvl w:val="9"/>
    </w:pPr>
    <w:rPr>
      <w:rFonts w:hint="default" w:asciiTheme="majorHAnsi" w:hAnsiTheme="majorHAnsi" w:eastAsiaTheme="majorEastAsia" w:cstheme="majorBidi"/>
      <w:b w:val="0"/>
      <w:bCs w:val="0"/>
      <w:color w:val="2E75B6" w:themeColor="accent1" w:themeShade="BF"/>
      <w:kern w:val="0"/>
      <w:sz w:val="32"/>
      <w:szCs w:val="32"/>
    </w:rPr>
  </w:style>
  <w:style w:type="character" w:customStyle="1" w:styleId="27">
    <w:name w:val="页脚 字符"/>
    <w:basedOn w:val="19"/>
    <w:link w:val="11"/>
    <w:qFormat/>
    <w:uiPriority w:val="99"/>
    <w:rPr>
      <w:rFonts w:asciiTheme="minorHAnsi" w:hAnsiTheme="minorHAnsi" w:eastAsiaTheme="minorEastAsia" w:cstheme="minorBidi"/>
      <w:kern w:val="2"/>
      <w:sz w:val="18"/>
      <w:szCs w:val="18"/>
    </w:rPr>
  </w:style>
  <w:style w:type="paragraph" w:styleId="28">
    <w:name w:val="List Paragraph"/>
    <w:basedOn w:val="1"/>
    <w:qFormat/>
    <w:uiPriority w:val="34"/>
    <w:pPr>
      <w:ind w:firstLine="420" w:firstLineChars="200"/>
    </w:pPr>
  </w:style>
  <w:style w:type="paragraph" w:customStyle="1" w:styleId="29">
    <w:name w:val="Plain Text"/>
    <w:basedOn w:val="1"/>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368516-221E-4D4D-91CA-28C45C028D9F}">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35612</Words>
  <Characters>37242</Characters>
  <Lines>286</Lines>
  <Paragraphs>80</Paragraphs>
  <TotalTime>0</TotalTime>
  <ScaleCrop>false</ScaleCrop>
  <LinksUpToDate>false</LinksUpToDate>
  <CharactersWithSpaces>37433</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2023-06-03T06:46:00Z</dcterms:created>
  <dc:creator>张纯</dc:creator>
  <cp:lastModifiedBy>叶昆</cp:lastModifiedBy>
  <dcterms:modified xsi:type="dcterms:W3CDTF">2023-12-18T03:19:04Z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E25B00512B914934804ED199AC87FD61_13</vt:lpwstr>
  </property>
</Properties>
</file>