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E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eastAsia="zh-CN"/>
        </w:rPr>
        <w:t>浮东粮食仓储产业园建设项目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w:t>
      </w:r>
    </w:p>
    <w:p w14:paraId="5AD1F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25620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2EC4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eastAsia="zh-CN"/>
        </w:rPr>
        <w:t>浮东粮食仓储产业园建设项目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9070A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9A4D8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7A1368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2718B0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57E94B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74E577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B60EB2"/>
    <w:rsid w:val="0B8E7D66"/>
    <w:rsid w:val="1FA81D1A"/>
    <w:rsid w:val="25EF4B7E"/>
    <w:rsid w:val="48C2173D"/>
    <w:rsid w:val="4BB116C5"/>
    <w:rsid w:val="4E0C56EB"/>
    <w:rsid w:val="5B6C51D7"/>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299</Characters>
  <Lines>0</Lines>
  <Paragraphs>0</Paragraphs>
  <TotalTime>0</TotalTime>
  <ScaleCrop>false</ScaleCrop>
  <LinksUpToDate>false</LinksUpToDate>
  <CharactersWithSpaces>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2024-08-06T02:11:46Z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8C8A27293FF74A4F8D2F6A3FD91F86E4_13</vt:lpwstr>
  </property>
</Properties>
</file>