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18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勒功乡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政策解读工作制度</w:t>
      </w:r>
    </w:p>
    <w:p w14:paraId="72FF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>第一条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为保障公众知情权、参与权、监督权，切实提高社会公众对政府政策和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重大决策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的知晓度，加深公众对政府行为的理解，结合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实际，制定本制度。</w:t>
      </w:r>
    </w:p>
    <w:p w14:paraId="4E58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党政办负责推进、指导、协调、监督政策文件解读工作。各单位根据职责分工，在党政办统一协调下，配合推进政策解读相关工作。</w:t>
      </w:r>
    </w:p>
    <w:p w14:paraId="6099A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责任分工</w:t>
      </w:r>
    </w:p>
    <w:p w14:paraId="0A000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“谁起草、谁解读”的原则，政策文件由起草单位负责组织实施解读工作；多个单位共同起草的，由牵头单位负责组织实施解读工作。落实信息发布的主体责任，各单位负责人要履行好重大政策“第一解读人”职责，通过相应方式，深入解读政策背景、重点任务、后续工作考虑等，及时准确传递权威信息和政策意图。</w:t>
      </w:r>
    </w:p>
    <w:p w14:paraId="55568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lang w:val="en-US" w:eastAsia="zh-CN"/>
        </w:rPr>
        <w:t>第四条</w:t>
      </w: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 xml:space="preserve"> 解读范围</w:t>
      </w:r>
    </w:p>
    <w:p w14:paraId="5A3D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符合下列情形之一的政策性文件，应当进行政策解读，不解读的须经分管领导同意。</w:t>
      </w:r>
    </w:p>
    <w:p w14:paraId="15C83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（一）以乡镇政府名义制定的行政规范性文件；</w:t>
      </w:r>
    </w:p>
    <w:p w14:paraId="6E66B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（二）其他需要进行解读的重要政策文件。</w:t>
      </w:r>
    </w:p>
    <w:p w14:paraId="662F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lang w:val="en-US" w:eastAsia="zh-CN"/>
        </w:rPr>
        <w:t>第五条</w:t>
      </w: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 xml:space="preserve"> 解读程序</w:t>
      </w:r>
    </w:p>
    <w:p w14:paraId="49E42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政策性文件与解读方案、解读材料应当同步起草、同步审签、同步发布。具体按以下程序组织实施：</w:t>
      </w:r>
    </w:p>
    <w:p w14:paraId="2FAF0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（一）各单位在起草政策文件时，应当同步谋划、组织编撰解读方案和解读材料。解读方案一般包括解读提纲（解读内容）、解读形式、解读途径、解读时间等；解读材料包括具体的解读内容；</w:t>
      </w:r>
    </w:p>
    <w:p w14:paraId="2277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（二）解读方案经所在单位主要负责同志审定后，作为拟制发文件的附件，一并报送党政办；</w:t>
      </w:r>
    </w:p>
    <w:p w14:paraId="495E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（三）各单位根据规定和程序，及时将政策文件及解读方案呈送主要领导审签。对需提请党政办审议的重要政策文件，解读方案需一并提请审议。</w:t>
      </w:r>
    </w:p>
    <w:p w14:paraId="4D345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lang w:val="en-US" w:eastAsia="zh-CN"/>
        </w:rPr>
        <w:t>第六条</w:t>
      </w: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 xml:space="preserve"> 解读内容</w:t>
      </w:r>
    </w:p>
    <w:p w14:paraId="74772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政策性文件解读内容应当全面、详尽、准确，着重对政策的背景依据、目标任务、主要内容、关键词、涉及范围、执行标准、惠民利民举措、新旧政策差异等方面进行实质性解读。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坚决杜绝简单地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复制文件内容或者制作文件精简版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方式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等形式化解读。</w:t>
      </w:r>
    </w:p>
    <w:p w14:paraId="4AF07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lang w:val="en-US" w:eastAsia="zh-CN"/>
        </w:rPr>
        <w:t>第七条</w:t>
      </w: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 xml:space="preserve"> 解读形式</w:t>
      </w:r>
    </w:p>
    <w:p w14:paraId="43401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创新政策解读形式，综合运用图片、视频、互动直播、简明问答、现场宣讲等多元化形式开展解读，使解读信息可视、可读、可感。</w:t>
      </w:r>
    </w:p>
    <w:p w14:paraId="25020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lang w:val="en-US" w:eastAsia="zh-CN"/>
        </w:rPr>
        <w:t>第八条</w:t>
      </w: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 xml:space="preserve"> 解读渠道</w:t>
      </w:r>
    </w:p>
    <w:p w14:paraId="70B67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坚持把政府门户网站作为政策文件和解读信息公开的第一平台，积极运用政府网站等发布政策文件解读信息，充分利用广播电视、报刊、新闻网站的作用，扩大解读信息的受众面。</w:t>
      </w:r>
    </w:p>
    <w:p w14:paraId="68AF2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lang w:val="en-US" w:eastAsia="zh-CN"/>
        </w:rPr>
        <w:t>第九条</w:t>
      </w: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 xml:space="preserve"> 解读回应</w:t>
      </w:r>
    </w:p>
    <w:p w14:paraId="33CAE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建立健全政务舆情收集、研判、处置和回应机制，文件执行过程中，关注重要政策性文件及解读信息公开后的社会舆情反应，分段、多次、持续开展解读工作，并做好政府与社会的沟通工作，及时准确传递政策意图，减少误解猜疑，不断增强主动性、针对性和实效性。</w:t>
      </w:r>
    </w:p>
    <w:p w14:paraId="45B07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lang w:val="en-US" w:eastAsia="zh-CN"/>
        </w:rPr>
        <w:t>第十条</w:t>
      </w: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 xml:space="preserve"> 保障措施</w:t>
      </w:r>
    </w:p>
    <w:p w14:paraId="6B144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加强政策解读工作的人员、经费保障。将政策解读工作纳入政府信息公开培训计划，加强政策性文件起草人员和信息发布工作人员的业务培训，增强解读意识和工作能力。</w:t>
      </w:r>
    </w:p>
    <w:p w14:paraId="482A9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lang w:val="en-US" w:eastAsia="zh-CN"/>
        </w:rPr>
        <w:t>第十一条</w:t>
      </w: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 xml:space="preserve"> 适用范围</w:t>
      </w:r>
    </w:p>
    <w:p w14:paraId="645AD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本制度适用于党政办及各办公室。</w:t>
      </w:r>
    </w:p>
    <w:p w14:paraId="188F7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lang w:val="en-US" w:eastAsia="zh-CN"/>
        </w:rPr>
        <w:t>第十二条</w:t>
      </w: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 xml:space="preserve"> 发布施行</w:t>
      </w:r>
    </w:p>
    <w:p w14:paraId="628BB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lang w:val="en-US" w:eastAsia="zh-CN"/>
        </w:rPr>
        <w:t>本制度由党政办负责解释，自发布之日起施行。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032E85D-AE62-44C1-8174-03C1077252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AEE7E9-7B66-477C-B20C-CC7C66313D5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zFhNzQzYjhkZDJhZmI1MjJlYTczMjE0ZmY0OTMifQ=="/>
  </w:docVars>
  <w:rsids>
    <w:rsidRoot w:val="46B24952"/>
    <w:rsid w:val="04A357AE"/>
    <w:rsid w:val="05AF7FAF"/>
    <w:rsid w:val="07AE284D"/>
    <w:rsid w:val="0AE33C67"/>
    <w:rsid w:val="0B903ADE"/>
    <w:rsid w:val="0BEF6C74"/>
    <w:rsid w:val="0D9E4206"/>
    <w:rsid w:val="0E906AA2"/>
    <w:rsid w:val="11840A57"/>
    <w:rsid w:val="13203999"/>
    <w:rsid w:val="170B670F"/>
    <w:rsid w:val="18A961DF"/>
    <w:rsid w:val="18B3077F"/>
    <w:rsid w:val="18D00F9A"/>
    <w:rsid w:val="1DB607B5"/>
    <w:rsid w:val="250F04A7"/>
    <w:rsid w:val="27DB3EDB"/>
    <w:rsid w:val="2CC36747"/>
    <w:rsid w:val="30ED69C7"/>
    <w:rsid w:val="313703D4"/>
    <w:rsid w:val="35523339"/>
    <w:rsid w:val="3999746F"/>
    <w:rsid w:val="3CF90354"/>
    <w:rsid w:val="3F9F3D14"/>
    <w:rsid w:val="3FBA3236"/>
    <w:rsid w:val="46401681"/>
    <w:rsid w:val="46B24952"/>
    <w:rsid w:val="531C2079"/>
    <w:rsid w:val="5367360A"/>
    <w:rsid w:val="59940E2D"/>
    <w:rsid w:val="5BFB0E71"/>
    <w:rsid w:val="5C4F4937"/>
    <w:rsid w:val="5EFA466C"/>
    <w:rsid w:val="61DF1367"/>
    <w:rsid w:val="651B4753"/>
    <w:rsid w:val="69D6790C"/>
    <w:rsid w:val="6AF53822"/>
    <w:rsid w:val="6BE82287"/>
    <w:rsid w:val="76C46E4E"/>
    <w:rsid w:val="7B5E72A7"/>
    <w:rsid w:val="7DFF54DC"/>
    <w:rsid w:val="7F2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1142</Characters>
  <Lines>0</Lines>
  <Paragraphs>0</Paragraphs>
  <TotalTime>2</TotalTime>
  <ScaleCrop>false</ScaleCrop>
  <LinksUpToDate>false</LinksUpToDate>
  <CharactersWithSpaces>1154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2023-11-07T03:24:00Z</dcterms:created>
  <dc:creator>南巷</dc:creator>
  <cp:lastModifiedBy>GGN</cp:lastModifiedBy>
  <dcterms:modified xsi:type="dcterms:W3CDTF">2025-09-18T01:57:15Z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9C587DA6EDAE4CE3913AC7DCF98DD0BF_13</vt:lpwstr>
  </property>
  <property fmtid="{D5CDD505-2E9C-101B-9397-08002B2CF9AE}" pid="4" name="KSOTemplateDocerSaveRecord">
    <vt:lpwstr>eyJoZGlkIjoiZWZmMjdlNzk1ZmNlZWRkNjE5MDc1NDVjZTUxNGE5NzUiLCJ1c2VySWQiOiI0MzEyODAwMzIifQ==</vt:lpwstr>
  </property>
</Properties>
</file>